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df" ContentType="application/pdf"/>
  <Override PartName="/word/media/rId42.pdf" ContentType="application/pdf"/>
  <Override PartName="/word/media/rId38.pdf" ContentType="application/pdf"/>
  <Override PartName="/word/media/rId39.pdf" ContentType="application/pdf"/>
  <Override PartName="/word/media/rId44.pdf" ContentType="application/pdf"/>
  <Override PartName="/word/media/rId45.pdf" ContentType="application/pdf"/>
  <Override PartName="/word/media/rId35.pdf" ContentType="application/pdf"/>
  <Override PartName="/word/media/rId36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Postal address. E-mail:</w:t>
      </w:r>
      <w:r>
        <w:t xml:space="preserve"> </w:t>
      </w:r>
      <w:hyperlink r:id="rId21">
        <w:r>
          <w:rPr>
            <w:rStyle w:val="Hyperlink"/>
          </w:rPr>
          <w:t xml:space="preserve">my@email.com</w:t>
        </w:r>
      </w:hyperlink>
    </w:p>
    <w:p>
      <w:pPr>
        <w:pStyle w:val="berschrift1"/>
      </w:pPr>
      <w:bookmarkStart w:id="22" w:name="overview"/>
      <w:r>
        <w:t xml:space="preserve">Overview</w:t>
      </w:r>
      <w:bookmarkEnd w:id="22"/>
    </w:p>
    <w:p>
      <w:pPr>
        <w:pStyle w:val="berschrift2"/>
      </w:pPr>
      <w:bookmarkStart w:id="23" w:name="bayesian-data-analysis"/>
      <w:r>
        <w:t xml:space="preserve">Bayesian data analysis</w:t>
      </w:r>
      <w:bookmarkEnd w:id="23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</w:t>
      </w:r>
      <w:r>
        <w:t xml:space="preserve"> </w:t>
      </w:r>
      <m:oMath>
        <m:r>
          <m:t>β</m:t>
        </m:r>
      </m:oMath>
      <w:r>
        <w:t xml:space="preserve">, but rather we draw a sample of 4,000</w:t>
      </w:r>
      <w:r>
        <w:t xml:space="preserve"> </w:t>
      </w:r>
      <w:r>
        <w:t xml:space="preserve">plausible values for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This allows us to quantify our uncertainty regarding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3 statistics to describe the posterior distribution: (1) the mean,</w:t>
      </w:r>
      <w:r>
        <w:t xml:space="preserve"> </w:t>
      </w:r>
      <w:r>
        <w:t xml:space="preserve">(2) a credible interval, and (3) the posterior probability that the effect is</w:t>
      </w:r>
      <w:r>
        <w:t xml:space="preserve"> </w:t>
      </w:r>
      <w:r>
        <w:t xml:space="preserve">greater than 0.</w:t>
      </w:r>
      <w:r>
        <w:t xml:space="preserve"> </w:t>
      </w:r>
      <w:r>
        <w:t xml:space="preserve">The mean provides a point estimate for the distribution, the 95% credible</w:t>
      </w:r>
      <w:r>
        <w:t xml:space="preserve"> </w:t>
      </w:r>
      <w:r>
        <w:t xml:space="preserve">interval provides bounds for the effect, and the posterior probability that</w:t>
      </w:r>
      <w:r>
        <w:t xml:space="preserve"> </w:t>
      </w:r>
      <w:r>
        <w:t xml:space="preserve">the effect is greater than zero further quantifies our uncertainty.</w:t>
      </w:r>
      <w:r>
        <w:t xml:space="preserve"> </w:t>
      </w:r>
      <w:r>
        <w:t xml:space="preserve">For example, if a hypothesis states that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is (by a reasonably clear margin) not included in the 95%</w:t>
      </w:r>
      <w:r>
        <w:t xml:space="preserve"> </w:t>
      </w:r>
      <w:r>
        <w:t xml:space="preserve">credible interval of</w:t>
      </w:r>
      <w:r>
        <w:t xml:space="preserve"> </w:t>
      </w:r>
      <m:oMath>
        <m:r>
          <m:t>β</m:t>
        </m:r>
      </m:oMath>
      <w:r>
        <w:t xml:space="preserve">, and the posterior</w:t>
      </w:r>
      <w:r>
        <w:t xml:space="preserve"> </w:t>
      </w:r>
      <m:oMath>
        <m:r>
          <m:t>P</m:t>
        </m:r>
        <m:r>
          <m:t>(</m:t>
        </m:r>
        <m:r>
          <m:t>β</m:t>
        </m:r>
        <m:r>
          <m:t>&gt;</m:t>
        </m:r>
        <m:r>
          <m:t>0</m:t>
        </m:r>
        <m:r>
          <m:t>)</m:t>
        </m:r>
      </m:oMath>
      <w:r>
        <w:t xml:space="preserve"> </w:t>
      </w:r>
      <w:r>
        <w:t xml:space="preserve">is close to</w:t>
      </w:r>
      <w:r>
        <w:t xml:space="preserve"> </w:t>
      </w:r>
      <w:r>
        <w:t xml:space="preserve">one.</w:t>
      </w:r>
    </w:p>
    <w:p>
      <w:pPr>
        <w:pStyle w:val="Textkrper"/>
      </w:pPr>
      <w:r>
        <w:t xml:space="preserve">These three statistics provide an intuitive interpretation of any given</w:t>
      </w:r>
      <w:r>
        <w:t xml:space="preserve"> </w:t>
      </w:r>
      <w:r>
        <w:t xml:space="preserve">effect.</w:t>
      </w:r>
      <w:r>
        <w:t xml:space="preserve"> </w:t>
      </w:r>
      <w:r>
        <w:t xml:space="preserve">For instance, consider a case in which the posterior mean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berschrift2"/>
      </w:pPr>
      <w:bookmarkStart w:id="24" w:name="about-this-document"/>
      <w:r>
        <w:t xml:space="preserve">About this document</w:t>
      </w:r>
      <w:bookmarkEnd w:id="24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(Aust &amp; Barth, 2018)</w:t>
      </w:r>
      <w:r>
        <w:t xml:space="preserve"> </w:t>
      </w:r>
      <w:r>
        <w:t xml:space="preserve">and serves</w:t>
      </w:r>
      <w:r>
        <w:t xml:space="preserve"> </w:t>
      </w:r>
      <w:r>
        <w:t xml:space="preserve">as a project report for our research group.</w:t>
      </w:r>
      <w:r>
        <w:t xml:space="preserve"> </w:t>
      </w:r>
      <w:r>
        <w:t xml:space="preserve">From this point foward, the document is written as if it were the results</w:t>
      </w:r>
      <w:r>
        <w:t xml:space="preserve"> </w:t>
      </w:r>
      <w:r>
        <w:t xml:space="preserve">section of a future 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p>
      <w:pPr>
        <w:pStyle w:val="berschrift1"/>
      </w:pPr>
      <w:bookmarkStart w:id="25" w:name="method"/>
      <w:r>
        <w:t xml:space="preserve">Method</w:t>
      </w:r>
      <w:bookmarkEnd w:id="25"/>
    </w:p>
    <w:p>
      <w:pPr>
        <w:pStyle w:val="berschrift2"/>
      </w:pPr>
      <w:bookmarkStart w:id="26" w:name="participants"/>
      <w:r>
        <w:t xml:space="preserve">Participants</w:t>
      </w:r>
      <w:bookmarkEnd w:id="26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Bilingual English-Spanish</w:t>
      </w:r>
      <w:r>
        <w:t xml:space="preserve"> </w:t>
      </w:r>
      <w:r>
        <w:t xml:space="preserve">speakers.</w:t>
      </w:r>
    </w:p>
    <w:p>
      <w:pPr>
        <w:pStyle w:val="berschrift3"/>
      </w:pPr>
      <w:bookmarkStart w:id="27" w:name="monolingual-english-speakers"/>
      <w:r>
        <w:t xml:space="preserve">Monolingual English speakers</w:t>
      </w:r>
      <w:bookmarkEnd w:id="27"/>
    </w:p>
    <w:p>
      <w:pPr>
        <w:pStyle w:val="FirstParagraph"/>
      </w:pPr>
      <w:r>
        <w:t xml:space="preserve">The study ingludes 8 monolingual English speakers from the U.S.</w:t>
      </w:r>
      <w:r>
        <w:t xml:space="preserve"> </w:t>
      </w:r>
      <w:r>
        <w:t xml:space="preserve">Southwest.</w:t>
      </w:r>
      <w:r>
        <w:t xml:space="preserve"> </w:t>
      </w:r>
      <w:r>
        <w:t xml:space="preserve">Age and other info here.</w:t>
      </w:r>
    </w:p>
    <w:p>
      <w:pPr>
        <w:pStyle w:val="berschrift3"/>
      </w:pPr>
      <w:bookmarkStart w:id="28" w:name="monolingual-spanish-speakers"/>
      <w:r>
        <w:t xml:space="preserve">Monolingual Spanish speakers</w:t>
      </w:r>
      <w:bookmarkEnd w:id="28"/>
    </w:p>
    <w:p>
      <w:pPr>
        <w:pStyle w:val="FirstParagraph"/>
      </w:pPr>
      <w:r>
        <w:t xml:space="preserve">The monolingual Spanish speakers come from Majorca, Spain.</w:t>
      </w:r>
      <w:r>
        <w:t xml:space="preserve"> </w:t>
      </w:r>
      <w:r>
        <w:t xml:space="preserve">There are 8 of them.</w:t>
      </w:r>
      <w:r>
        <w:t xml:space="preserve"> </w:t>
      </w:r>
      <w:r>
        <w:t xml:space="preserve">Age and other info here.</w:t>
      </w:r>
    </w:p>
    <w:p>
      <w:pPr>
        <w:pStyle w:val="berschrift3"/>
      </w:pPr>
      <w:bookmarkStart w:id="29" w:name="bilingual-speakers"/>
      <w:r>
        <w:t xml:space="preserve">Bilingual speakers</w:t>
      </w:r>
      <w:bookmarkEnd w:id="29"/>
    </w:p>
    <w:p>
      <w:pPr>
        <w:pStyle w:val="FirstParagraph"/>
      </w:pPr>
      <w:r>
        <w:t xml:space="preserve">The English-Spanish bilinguals (n = 26) are from</w:t>
      </w:r>
      <w:r>
        <w:t xml:space="preserve"> </w:t>
      </w:r>
      <w:r>
        <w:t xml:space="preserve">Southern Arizona, Northern Mexico.</w:t>
      </w:r>
      <w:r>
        <w:t xml:space="preserve"> </w:t>
      </w:r>
      <w:r>
        <w:t xml:space="preserve">Age, BLP and other info.</w:t>
      </w:r>
      <w:r>
        <w:t xml:space="preserve"> </w:t>
      </w:r>
      <w:r>
        <w:t xml:space="preserve">Note 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</w:p>
    <w:p>
      <w:pPr>
        <w:pStyle w:val="berschrift2"/>
      </w:pPr>
      <w:bookmarkStart w:id="30" w:name="metrics"/>
      <w:r>
        <w:t xml:space="preserve">Metrics</w:t>
      </w:r>
      <w:bookmarkEnd w:id="30"/>
    </w:p>
    <w:p>
      <w:pPr>
        <w:pStyle w:val="FirstParagraph"/>
      </w:pPr>
      <w:r>
        <w:t xml:space="preserve">F1/F2, voice onset time, relative intensity, center of gravity, standard</w:t>
      </w:r>
      <w:r>
        <w:t xml:space="preserve"> </w:t>
      </w:r>
      <w:r>
        <w:t xml:space="preserve">deviation, skewness, kurtosis</w:t>
      </w:r>
    </w:p>
    <w:p>
      <w:pPr>
        <w:pStyle w:val="berschrift2"/>
      </w:pPr>
      <w:bookmarkStart w:id="31" w:name="procedure"/>
      <w:r>
        <w:t xml:space="preserve">Procedure</w:t>
      </w:r>
      <w:bookmarkEnd w:id="31"/>
    </w:p>
    <w:p>
      <w:pPr>
        <w:pStyle w:val="FirstParagraph"/>
      </w:pPr>
      <w:r>
        <w:t xml:space="preserve">Decide if we will present 3 separate experiments with 3 different methods</w:t>
      </w:r>
      <w:r>
        <w:t xml:space="preserve"> </w:t>
      </w:r>
      <w:r>
        <w:t xml:space="preserve">sections.</w:t>
      </w:r>
    </w:p>
    <w:p>
      <w:pPr>
        <w:pStyle w:val="berschrift2"/>
      </w:pPr>
      <w:bookmarkStart w:id="32" w:name="statistical-analyses"/>
      <w:r>
        <w:t xml:space="preserve">Statistical analyses</w:t>
      </w:r>
      <w:bookmarkEnd w:id="32"/>
    </w:p>
    <w:p>
      <w:pPr>
        <w:pStyle w:val="FirstParagraph"/>
      </w:pPr>
      <w:r>
        <w:t xml:space="preserve">All analyses were conducted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Team, 2019, version 3.6.0)</w:t>
      </w:r>
      <w:r>
        <w:t xml:space="preserve">.</w:t>
      </w:r>
      <w:r>
        <w:t xml:space="preserve"> </w:t>
      </w:r>
      <w:r>
        <w:t xml:space="preserve">We use Bayesian multilevel models fitted in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brms</w:t>
      </w:r>
      <w:r>
        <w:t xml:space="preserve"> </w:t>
      </w:r>
      <w:r>
        <w:t xml:space="preserve">(Bürkner, 2017, 2018, version 2.10.0)</w:t>
      </w:r>
      <w:r>
        <w:t xml:space="preserve">.</w:t>
      </w:r>
      <w:r>
        <w:t xml:space="preserve"> </w:t>
      </w:r>
      <w:r>
        <w:t xml:space="preserve">Bayesian Data Analysis (BDA) has become a welcome alternative to frequentist</w:t>
      </w:r>
      <w:r>
        <w:t xml:space="preserve"> </w:t>
      </w:r>
      <w:r>
        <w:t xml:space="preserve">statistical analysis.</w:t>
      </w:r>
      <w:r>
        <w:t xml:space="preserve"> </w:t>
      </w:r>
      <w:r>
        <w:t xml:space="preserve">See XXX and XXX for tutorials and in depth explanations related BDA in the</w:t>
      </w:r>
      <w:r>
        <w:t xml:space="preserve"> </w:t>
      </w:r>
      <w:r>
        <w:t xml:space="preserve">psychological and speech sciences.</w:t>
      </w:r>
      <w:r>
        <w:t xml:space="preserve"> </w:t>
      </w:r>
      <w:r>
        <w:t xml:space="preserve">For all models, the criterion was standardized, or converted to z-scores,</w:t>
      </w:r>
      <w:r>
        <w:t xml:space="preserve"> </w:t>
      </w:r>
      <w:r>
        <w:t xml:space="preserve">in order to facilitate comparibility between metrics.</w:t>
      </w:r>
      <w:r>
        <w:t xml:space="preserve"> </w:t>
      </w:r>
      <w:r>
        <w:t xml:space="preserve">Continuous predictors were also standardized and categorical predictors were</w:t>
      </w:r>
      <w:r>
        <w:t xml:space="preserve"> </w:t>
      </w:r>
      <w:r>
        <w:t xml:space="preserve">sum-to-zero coded.</w:t>
      </w:r>
      <w:r>
        <w:t xml:space="preserve"> </w:t>
      </w:r>
      <w:r>
        <w:t xml:space="preserve">Thus for all models the intercept represents the outcome variable at the</w:t>
      </w:r>
      <w:r>
        <w:t xml:space="preserve"> </w:t>
      </w:r>
      <w:r>
        <w:t xml:space="preserve">average state.</w:t>
      </w:r>
      <w:r>
        <w:t xml:space="preserve"> </w:t>
      </w:r>
      <w:r>
        <w:t xml:space="preserve">We use regularizing, weakly informative priors in all models (specifics below)</w:t>
      </w:r>
      <w:r>
        <w:t xml:space="preserve"> </w:t>
      </w:r>
      <w:r>
        <w:t xml:space="preserve">with 4,000 iterations (2,000 warmup) running on 16 processing cores.</w:t>
      </w:r>
      <w:r>
        <w:t xml:space="preserve"> </w:t>
      </w:r>
      <w:r>
        <w:t xml:space="preserve">We quantify our uncertainty regarding a given effect by reporting point</w:t>
      </w:r>
      <w:r>
        <w:t xml:space="preserve"> </w:t>
      </w:r>
      <w:r>
        <w:t xml:space="preserve">estimates derived from the posterior predictive distribution, including the</w:t>
      </w:r>
      <w:r>
        <w:t xml:space="preserve"> </w:t>
      </w:r>
      <w:r>
        <w:t xml:space="preserve">95% Highest Density Credible Intervals (HDI).</w:t>
      </w:r>
      <w:r>
        <w:t xml:space="preserve"> </w:t>
      </w:r>
      <w:r>
        <w:t xml:space="preserve">Additionally, we assume a negligible effect size of ± 0.1 (CITE COHEN)</w:t>
      </w:r>
      <w:r>
        <w:t xml:space="preserve"> </w:t>
      </w:r>
      <w:r>
        <w:t xml:space="preserve">in order to establish a Region of Practical Equivalence (ROPE), for which we</w:t>
      </w:r>
      <w:r>
        <w:t xml:space="preserve"> </w:t>
      </w:r>
      <w:r>
        <w:t xml:space="preserve">assess the proportion of the HDI that falls within this interval.</w:t>
      </w:r>
      <w:r>
        <w:t xml:space="preserve"> </w:t>
      </w:r>
      <w:r>
        <w:t xml:space="preserve">Finally, we report the Maximum Probability of Effect (MPE), or the Probability</w:t>
      </w:r>
      <w:r>
        <w:t xml:space="preserve"> </w:t>
      </w:r>
      <w:r>
        <w:t xml:space="preserve">of Direction, as the proportion of the posterior distribution that is of the</w:t>
      </w:r>
      <w:r>
        <w:t xml:space="preserve"> </w:t>
      </w:r>
      <w:r>
        <w:t xml:space="preserve">median’s sign.</w:t>
      </w:r>
      <w:r>
        <w:t xml:space="preserve"> </w:t>
      </w:r>
      <w:r>
        <w:t xml:space="preserve">We assume there to be compelling evidence for a given effect when the HDI of</w:t>
      </w:r>
      <w:r>
        <w:t xml:space="preserve"> </w:t>
      </w:r>
      <w:r>
        <w:t xml:space="preserve">the posterior distribution does not contain 0 nor fall within the ROPE by a</w:t>
      </w:r>
      <w:r>
        <w:t xml:space="preserve"> </w:t>
      </w:r>
      <w:r>
        <w:t xml:space="preserve">reasonable margin and the MPE is greater than 97%.</w:t>
      </w:r>
    </w:p>
    <w:p>
      <w:pPr>
        <w:pStyle w:val="berschrift1"/>
      </w:pPr>
      <w:bookmarkStart w:id="33" w:name="results"/>
      <w:r>
        <w:t xml:space="preserve">Results</w:t>
      </w:r>
      <w:bookmarkEnd w:id="33"/>
    </w:p>
    <w:p>
      <w:pPr>
        <w:pStyle w:val="FirstParagraph"/>
      </w:pPr>
      <w:r>
        <w:t xml:space="preserve">The results are divided into 4 subsections dealing with (1) phonetic</w:t>
      </w:r>
      <w:r>
        <w:t xml:space="preserve"> </w:t>
      </w:r>
      <w:r>
        <w:t xml:space="preserve">development over time, (2) learning trajectories, (3) comparisons with native</w:t>
      </w:r>
      <w:r>
        <w:t xml:space="preserve"> </w:t>
      </w:r>
      <w:r>
        <w:t xml:space="preserve">bilinguals, and (4) individual differences.</w:t>
      </w:r>
    </w:p>
    <w:p>
      <w:pPr>
        <w:pStyle w:val="berschrift2"/>
      </w:pPr>
      <w:bookmarkStart w:id="34" w:name="experiment-0-vowels"/>
      <w:r>
        <w:t xml:space="preserve">Experiment 0: Vowels</w:t>
      </w:r>
      <w:bookmarkEnd w:id="34"/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F1 and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F1 and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2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Model plot.</w:t>
      </w:r>
    </w:p>
    <w:p>
      <w:pPr>
        <w:pStyle w:val="berschrift2"/>
      </w:pPr>
      <w:bookmarkStart w:id="37" w:name="experiment-1-monolinguals"/>
      <w:r>
        <w:t xml:space="preserve">Experiment 1: Monolinguals</w:t>
      </w:r>
      <w:bookmarkEnd w:id="37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Model plot.</w:t>
      </w:r>
    </w:p>
    <w:p>
      <w:pPr>
        <w:pStyle w:val="berschrift2"/>
      </w:pPr>
      <w:bookmarkStart w:id="40" w:name="experiment-2-bilinguals"/>
      <w:r>
        <w:t xml:space="preserve">Experiment 2: Bilinguals</w:t>
      </w:r>
      <w:bookmarkEnd w:id="40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Model plot.</w:t>
      </w:r>
    </w:p>
    <w:p>
      <w:pPr>
        <w:pStyle w:val="berschrift2"/>
      </w:pPr>
      <w:bookmarkStart w:id="43" w:name="experiment-3-bilingual-poa-data"/>
      <w:r>
        <w:t xml:space="preserve">Experiment 3: Bilingual POA data</w:t>
      </w:r>
      <w:bookmarkEnd w:id="43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7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8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Model plot.</w:t>
      </w:r>
    </w:p>
    <w:p>
      <w:pPr>
        <w:pStyle w:val="berschrift1"/>
      </w:pPr>
      <w:bookmarkStart w:id="46" w:name="results-1"/>
      <w:r>
        <w:t xml:space="preserve">Results</w:t>
      </w:r>
      <w:bookmarkEnd w:id="46"/>
    </w:p>
    <w:p>
      <w:pPr>
        <w:pStyle w:val="berschrift1"/>
      </w:pPr>
      <w:bookmarkStart w:id="47" w:name="discussion"/>
      <w:r>
        <w:t xml:space="preserve">Discussion</w:t>
      </w:r>
      <w:bookmarkEnd w:id="47"/>
    </w:p>
    <w:p>
      <w:pPr>
        <w:pStyle w:val="berschrift1"/>
      </w:pPr>
      <w:bookmarkStart w:id="48" w:name="references"/>
      <w:r>
        <w:t xml:space="preserve">References</w:t>
      </w:r>
      <w:bookmarkEnd w:id="48"/>
    </w:p>
    <w:bookmarkStart w:id="57" w:name="refs"/>
    <w:bookmarkStart w:id="50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https://github.com/crsh/papaja</w:t>
        </w:r>
      </w:hyperlink>
    </w:p>
    <w:bookmarkEnd w:id="50"/>
    <w:bookmarkStart w:id="52" w:name="ref-R-brms_a"/>
    <w:p>
      <w:pPr>
        <w:pStyle w:val="Literaturverzeichnis"/>
      </w:pPr>
      <w:r>
        <w:t xml:space="preserve">Bürkner, P.-C. (2017). brms: An R package for Bayesian multilevel models using Stan.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80</w:t>
      </w:r>
      <w:r>
        <w:t xml:space="preserve">(1), 1–28.</w:t>
      </w:r>
      <w:r>
        <w:t xml:space="preserve"> </w:t>
      </w:r>
      <w:hyperlink r:id="rId51">
        <w:r>
          <w:rPr>
            <w:rStyle w:val="Hyperlink"/>
          </w:rPr>
          <w:t xml:space="preserve">https://doi.org/10.18637/jss.v080.i01</w:t>
        </w:r>
      </w:hyperlink>
    </w:p>
    <w:bookmarkEnd w:id="52"/>
    <w:bookmarkStart w:id="54" w:name="ref-R-brms_b"/>
    <w:p>
      <w:pPr>
        <w:pStyle w:val="Literaturverzeichnis"/>
      </w:pPr>
      <w:r>
        <w:t xml:space="preserve">Bürkner, P.-C. (2018). Advanced Bayesian multilevel modeling with the R package brms.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395–411.</w:t>
      </w:r>
      <w:r>
        <w:t xml:space="preserve"> </w:t>
      </w:r>
      <w:hyperlink r:id="rId53">
        <w:r>
          <w:rPr>
            <w:rStyle w:val="Hyperlink"/>
          </w:rPr>
          <w:t xml:space="preserve">https://doi.org/10.32614/RJ-2018-017</w:t>
        </w:r>
      </w:hyperlink>
    </w:p>
    <w:bookmarkEnd w:id="54"/>
    <w:bookmarkStart w:id="56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5">
        <w:r>
          <w:rPr>
            <w:rStyle w:val="Hyperlink"/>
          </w:rPr>
          <w:t xml:space="preserve">https://www.R-project.org/</w:t>
        </w:r>
      </w:hyperlink>
    </w:p>
    <w:bookmarkEnd w:id="56"/>
    <w:bookmarkEnd w:id="57"/>
    <w:p>
      <w:pPr>
        <w:pStyle w:val="Compact"/>
        <w:pStyle w:val="Titel"/>
      </w:pPr>
      <w:r>
        <w:t xml:space="preserve">Appendix A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728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[-0.245, 0.219]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[-0.001, 0.353]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[-0.096, 0.053]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[-0.074, 0.091]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[-0.368, 0.176]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[-0.037, 0.409]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[-0.09, 0.082]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[-0.033, 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0.874</w:t>
            </w:r>
          </w:p>
        </w:tc>
      </w:tr>
    </w:tbl>
    <w:p>
      <w:pPr>
        <w:pStyle w:val="Compact"/>
        <w:pStyle w:val="Titel"/>
      </w:pPr>
      <w:r>
        <w:t xml:space="preserve">Appendix B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[-0.124, 0.129]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[0.567, 0.767]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[-0.691, -0.548]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[-0.048,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[0.042, 0.178]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[-0.392, 0.146]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[-0.142, 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[-0.227, 0.038]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[-0.222, -0.001]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[-0.334, -0.105]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[-0.195, 0.296]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[0.41,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[-0.276, -0.141]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[-0.065,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0.095]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[-0.007, 0.127]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[-0.781, -0.469]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[0.113, 0.327]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[-0.348, -0.136]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[-0.213, 0.278]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[0.281, 0.71]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[-0.397, -0.162]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[-0.093,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[0.087, 0.315]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[-0.197, 0.155]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[-0.642,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[0.167, 0.431]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0.024]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[-0.036,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-0.251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C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[-0.216,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[0.391, 0.565]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[-0.737, -0.497]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[-0.028,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[-0.226, 0.184]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[0.026, 0.237]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[-0.158, -0.014]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[-0.248, -0.138]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[-0.286,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[0.441, 0.721]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[-0.272, -0.164]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[-0.023, 0.063]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[-0.064, 0.018]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[-0.019,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[-0.11, 0.016]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[-0.095, 0.226]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[-0.693, -0.498]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[0.182, 0.322]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[-0.051,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[-0.209, -0.012]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[-0.285, 0.025]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[0.436, 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[-0.296, -0.147]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[-0.045,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[-0.061,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[-0.011, 0.165]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0.276]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[-0.597, -0.427]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[0.225, 0.394]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[-0.056,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[-0.047, 0.044]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-0.113]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D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[-0.212, 0.023]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[0.663, 0.878]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[0.032, 0.242]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[-0.079, 0.133]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[-0.009, 0.428]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[0.033, 0.192]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[-0.622, -0.179]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[-0.309, -0.126]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[-0.252, -0.103]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[-0.055, 0.108]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[-0.52, -0.25]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[0.196, 0.411]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[0.522, 0.771]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[-0.005, 0.092]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[-0.083, 0.011]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[-0.049, 0.049]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[0.178, 0.396]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[0.275, 0.589]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[-0.301, -0.163]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[-0.969, -0.677]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[-0.042, 0.056]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[-0.092, 0.004]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[-0.259, -0.123]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[-0.633,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[0.145, 0.321]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[0.661,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[-0.026,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[0.118, 0.291]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[0.35, 0.745]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[-0.228, -0.027]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[-1.042, -0.68]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[-0.059, 0.076]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[-0.192, 0.007]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0.967</w:t>
            </w:r>
          </w:p>
        </w:tc>
      </w:tr>
    </w:tbl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38" Target="media/rId38.pdf" /><Relationship Type="http://schemas.openxmlformats.org/officeDocument/2006/relationships/image" Id="rId39" Target="media/rId39.pdf" /><Relationship Type="http://schemas.openxmlformats.org/officeDocument/2006/relationships/image" Id="rId44" Target="media/rId44.pdf" /><Relationship Type="http://schemas.openxmlformats.org/officeDocument/2006/relationships/image" Id="rId45" Target="media/rId45.pdf" /><Relationship Type="http://schemas.openxmlformats.org/officeDocument/2006/relationships/image" Id="rId35" Target="media/rId35.pdf" /><Relationship Type="http://schemas.openxmlformats.org/officeDocument/2006/relationships/image" Id="rId36" Target="media/rId36.pdf" /><Relationship Type="http://schemas.openxmlformats.org/officeDocument/2006/relationships/hyperlink" Id="rId51" Target="https://doi.org/10.18637/jss.v080.i01" TargetMode="External" /><Relationship Type="http://schemas.openxmlformats.org/officeDocument/2006/relationships/hyperlink" Id="rId53" Target="https://doi.org/10.32614/RJ-2018-017" TargetMode="External" /><Relationship Type="http://schemas.openxmlformats.org/officeDocument/2006/relationships/hyperlink" Id="rId49" Target="https://github.com/crsh/papaja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21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doi.org/10.18637/jss.v080.i01" TargetMode="External" /><Relationship Type="http://schemas.openxmlformats.org/officeDocument/2006/relationships/hyperlink" Id="rId53" Target="https://doi.org/10.32614/RJ-2018-017" TargetMode="External" /><Relationship Type="http://schemas.openxmlformats.org/officeDocument/2006/relationships/hyperlink" Id="rId49" Target="https://github.com/crsh/papaja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21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2019-09-18T20:24:05Z</dcterms:created>
  <dcterms:modified xsi:type="dcterms:W3CDTF">2019-09-18T20:24:05Z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/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/Library/Frameworks/R.framework/Versions/3.6/Resources/library/papaja/rmd/apa6.csl</vt:lpwstr>
  </property>
  <property fmtid="{D5CDD505-2E9C-101B-9397-08002B2CF9AE}" pid="7" name="documentclass">
    <vt:lpwstr>apa6</vt:lpwstr>
  </property>
  <property fmtid="{D5CDD505-2E9C-101B-9397-08002B2CF9AE}" pid="8" name="draft">
    <vt:lpwstr>yes</vt:lpwstr>
  </property>
  <property fmtid="{D5CDD505-2E9C-101B-9397-08002B2CF9AE}" pid="9" name="figurelist">
    <vt:lpwstr>yes</vt:lpwstr>
  </property>
  <property fmtid="{D5CDD505-2E9C-101B-9397-08002B2CF9AE}" pid="10" name="floatsintext">
    <vt:lpwstr>yes</vt:lpwstr>
  </property>
  <property fmtid="{D5CDD505-2E9C-101B-9397-08002B2CF9AE}" pid="11" name="footnotelist">
    <vt:lpwstr>yes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tablelist">
    <vt:lpwstr>yes</vt:lpwstr>
  </property>
  <property fmtid="{D5CDD505-2E9C-101B-9397-08002B2CF9AE}" pid="16" name="wordcount">
    <vt:lpwstr/>
  </property>
</Properties>
</file>