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df" ContentType="application/pdf"/>
  <Override PartName="/word/media/rId34.pdf" ContentType="application/pdf"/>
  <Override PartName="/word/media/rId29.pdf" ContentType="application/pdf"/>
  <Override PartName="/word/media/rId61.pdf" ContentType="application/pdf"/>
  <Override PartName="/word/media/rId30.pdf" ContentType="application/pdf"/>
  <Override PartName="/word/media/rId36.pdf" ContentType="application/pdf"/>
  <Override PartName="/word/media/rId37.pdf" ContentType="application/pdf"/>
  <Override PartName="/word/media/rId59.pdf" ContentType="application/pdf"/>
  <Override PartName="/word/media/rId6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w:t>
      </w:r>
      <w:r>
        <w:t xml:space="preserve"> </w:t>
      </w:r>
      <w:r>
        <w:t xml:space="preserve">herein must be indented, like this line.</w:t>
      </w:r>
    </w:p>
    <w:p>
      <w:pPr>
        <w:pStyle w:val="Textkrper"/>
      </w:pPr>
      <w:r>
        <w:t xml:space="preserve">Enter author note here.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h1-pagebreak"/>
      </w:pPr>
      <w:r>
        <w:t xml:space="preserve">Abstract</w:t>
      </w:r>
    </w:p>
    <w:p>
      <w:pPr>
        <w:pStyle w:val="Textkrper"/>
      </w:pPr>
      <w:r>
        <w:t xml:space="preserve">Here.</w:t>
      </w:r>
    </w:p>
    <w:p>
      <w:pPr>
        <w:pStyle w:val="Textkrper"/>
      </w:pPr>
      <w:r>
        <w:rPr>
          <w:iCs/>
          <w:i/>
        </w:rPr>
        <w:t xml:space="preserve">Keywords:</w:t>
      </w:r>
      <w:r>
        <w:t xml:space="preserve"> </w:t>
      </w:r>
      <w:r>
        <w:t xml:space="preserve">Spanish, Coronal stops, Spectral moments</w:t>
      </w:r>
    </w:p>
    <w:p>
      <w:pPr>
        <w:pStyle w:val="Textkrper"/>
      </w:pPr>
      <w:r>
        <w:rPr>
          <w:iCs/>
          <w:i/>
        </w:rPr>
        <w:t xml:space="preserve">Word count:</w:t>
      </w:r>
    </w:p>
    <w:p>
      <w:pPr>
        <w:pStyle w:val="h1-pagebreak"/>
      </w:pPr>
      <w:r>
        <w:t xml:space="preserve">The title</w:t>
      </w:r>
    </w:p>
    <w:bookmarkStart w:id="21" w:name="introduction"/>
    <w:p>
      <w:pPr>
        <w:pStyle w:val="berschrift1"/>
      </w:pPr>
      <w:r>
        <w:t xml:space="preserve">Introduction</w:t>
      </w:r>
    </w:p>
    <w:bookmarkEnd w:id="21"/>
    <w:bookmarkStart w:id="22" w:name="background-and-motivation"/>
    <w:p>
      <w:pPr>
        <w:pStyle w:val="berschrift1"/>
      </w:pPr>
      <w:r>
        <w:t xml:space="preserve">Background and motivation</w:t>
      </w:r>
    </w:p>
    <w:bookmarkEnd w:id="22"/>
    <w:bookmarkStart w:id="28" w:name="method"/>
    <w:p>
      <w:pPr>
        <w:pStyle w:val="berschrift1"/>
      </w:pPr>
      <w:r>
        <w:t xml:space="preserve">Method</w:t>
      </w:r>
    </w:p>
    <w:bookmarkStart w:id="23" w:name="participants"/>
    <w:p>
      <w:pPr>
        <w:pStyle w:val="berschrift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Textkrper"/>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Textkrper"/>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Textkrper"/>
      </w:pPr>
      <w:r>
        <w:rPr>
          <w:bCs/>
          <w:b/>
        </w:rPr>
        <w:t xml:space="preserve">Bilingual speakers.</w:t>
      </w:r>
      <w:r>
        <w:t xml:space="preserve"> </w:t>
      </w:r>
      <w:r>
        <w:t xml:space="preserve">The English-Spanish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bookmarkEnd w:id="23"/>
    <w:bookmarkStart w:id="24" w:name="metrics"/>
    <w:p>
      <w:pPr>
        <w:pStyle w:val="berschrift2"/>
      </w:pPr>
      <w:r>
        <w:t xml:space="preserve">Metrics</w:t>
      </w:r>
    </w:p>
    <w:p>
      <w:pPr>
        <w:pStyle w:val="FirstParagraph"/>
      </w:pPr>
      <w:r>
        <w:t xml:space="preserve">F1/F2, voice onset time, relative intensity, center of gravity, standard deviation, skewness, kurtosis</w:t>
      </w:r>
    </w:p>
    <w:bookmarkEnd w:id="24"/>
    <w:bookmarkStart w:id="25" w:name="procedure"/>
    <w:p>
      <w:pPr>
        <w:pStyle w:val="berschrift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berschrift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2.16.3)</w:t>
      </w:r>
      <w:r>
        <w:t xml:space="preserve">.</w:t>
      </w:r>
      <w:r>
        <w:t xml:space="preserve"> </w:t>
      </w:r>
      <w:r>
        <w:t xml:space="preserve">Bayesian Data Analysis (BDA) is an alternative to frequentist statistical analysis.</w:t>
      </w:r>
      <w:r>
        <w:rPr>
          <w:rStyle w:val="Funotenzeichen"/>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39" w:name="results"/>
    <w:p>
      <w:pPr>
        <w:pStyle w:val="berschrift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2" w:name="experiment-1-monolinguals"/>
    <w:p>
      <w:pPr>
        <w:pStyle w:val="berschrift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r>
        <w:t xml:space="preserve">Figure </w:t>
      </w:r>
      <w:r>
        <w:t xml:space="preserve">1</w:t>
      </w:r>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r>
        <w:drawing>
          <wp:inline>
            <wp:extent cx="5969000" cy="3979333"/>
            <wp:effectExtent b="0" l="0" r="0" t="0"/>
            <wp:docPr descr="Figure 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VOT and burst metrics of coronal stops (/d/, /t/) from monolingual speakers as a function of language (English, Spanish). Transparent points represent raw data. Solid points indicate posterior means ± 95% and 66% credible intervals.</w:t>
      </w:r>
    </w:p>
    <w:p>
      <w:pPr>
        <w:pStyle w:val="Textkrper"/>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 Table</w:t>
      </w:r>
      <w:r>
        <w:t xml:space="preserve"> </w:t>
      </w:r>
      <w:r>
        <w:t xml:space="preserve">2</w:t>
      </w:r>
      <w:r>
        <w:t xml:space="preserve"> </w:t>
      </w:r>
      <w:r>
        <w:t xml:space="preserve">and Figure</w:t>
      </w:r>
      <w:r>
        <w:t xml:space="preserve"> </w:t>
      </w:r>
      <w:r>
        <w:t xml:space="preserve">9</w:t>
      </w:r>
      <w:r>
        <w:t xml:space="preserve"> </w:t>
      </w:r>
      <w:r>
        <w:t xml:space="preserve">of the supplementary materials.</w:t>
      </w:r>
    </w:p>
    <w:p>
      <w:pPr>
        <w:pStyle w:val="Textkrper"/>
      </w:pPr>
      <w:r>
        <w:rPr>
          <w:bCs/>
          <w:b/>
        </w:rPr>
        <w:t xml:space="preserve">Relative intensity.</w:t>
      </w:r>
      <w:r>
        <w:t xml:space="preserve"> </w:t>
      </w:r>
      <w:r>
        <w:t xml:space="preserve">The relative intensity data is plotted in the top middle panel of Figure</w:t>
      </w:r>
      <w:r>
        <w:t xml:space="preserve"> </w:t>
      </w:r>
      <w:r>
        <w:t xml:space="preserve">1</w:t>
      </w:r>
      <w:r>
        <w:t xml:space="preserve">.</w:t>
      </w:r>
      <w:r>
        <w:t xml:space="preserve"> </w:t>
      </w:r>
      <w:r>
        <w:t xml:space="preserve">English and Spanish stops differed very little with regard to relative intensity.</w:t>
      </w:r>
      <w:r>
        <w:t xml:space="preserve"> </w:t>
      </w:r>
      <w:r>
        <w:t xml:space="preserve">The model provided no compelling evidence for a group effect (β = 0.026, HDI = [−0.171, 0.246], ROPE = 0.666, MPE = 0.602), nor for phoneme (β = −0.060, HDI = [−0.192, 0.055], ROPE = 0.742, MPE = 0.83) or vowel height effects (β = −0.172, HDI = [−0.252, −0.085], ROPE = 0.026, MPE = 1).</w:t>
      </w:r>
      <w:r>
        <w:t xml:space="preserve"> </w:t>
      </w:r>
      <w:r>
        <w:t xml:space="preserve">Frontness of the following vowel did modulate relative intensity of the burst (β = −0.080, HDI = [−0.177, 0.015], ROPE = 0.676, MPE = 0.948) such that higher F2 values were associated with lower relative intensity.</w:t>
      </w:r>
      <w:r>
        <w:t xml:space="preserve"> </w:t>
      </w:r>
      <w:r>
        <w:t xml:space="preserve">Finally, there was no compelling evidence for a language × phoneme interaction (β = character(0), HDI = character(0), ROPE = numeric(0), MPE = numeric(0)).</w:t>
      </w:r>
    </w:p>
    <w:p>
      <w:pPr>
        <w:pStyle w:val="Textkrper"/>
      </w:pPr>
      <w:r>
        <w:rPr>
          <w:bCs/>
          <w:b/>
        </w:rPr>
        <w:t xml:space="preserve">Center of gravity.</w:t>
      </w:r>
      <w:r>
        <w:t xml:space="preserve"> </w:t>
      </w:r>
      <w:r>
        <w:t xml:space="preserve">The center of gravity (COG) data is plotted in the third panel of Figure</w:t>
      </w:r>
      <w:r>
        <w:t xml:space="preserve"> </w:t>
      </w:r>
      <w:r>
        <w:t xml:space="preserve">1</w:t>
      </w:r>
      <w:r>
        <w:t xml:space="preserve">.</w:t>
      </w:r>
      <w:r>
        <w:t xml:space="preserve"> </w:t>
      </w:r>
      <w:r>
        <w:t xml:space="preserve">English stops had a higher COG than Spanish stops (β = 0.687, HDI = [0.555, 0.810], ROPE = 0, MPE = 1), and the voiceless segments had a higher COG than the voiced segments (β = −0.298, HDI = [−0.354, −0.244], ROPE = 0, MPE = 1).</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 (β = character(0), HDI = character(0), ROPE = numeric(0), MPE = numeric(0)), nor did F1 (β = 0.005, HDI = [−0.033, 0.044], ROPE = 1, MPE = 0.59) or F2 (β = 0.008, HDI = [−0.028, 0.050], ROPE = 1, MPE = 0.653) have any influence on COG.</w:t>
      </w:r>
    </w:p>
    <w:p>
      <w:pPr>
        <w:pStyle w:val="Textkrper"/>
      </w:pPr>
      <w:r>
        <w:rPr>
          <w:bCs/>
          <w:b/>
        </w:rPr>
        <w:t xml:space="preserve">Kurtosis.</w:t>
      </w:r>
      <w:r>
        <w:t xml:space="preserve"> </w:t>
      </w:r>
      <w:r>
        <w:t xml:space="preserve">The kurtosis data is plotted in the second row, first column of Figure</w:t>
      </w:r>
      <w:r>
        <w:t xml:space="preserve"> </w:t>
      </w:r>
      <w:r>
        <w:t xml:space="preserve">1</w:t>
      </w:r>
      <w:r>
        <w:t xml:space="preserve">.</w:t>
      </w:r>
      <w:r>
        <w:t xml:space="preserve"> </w:t>
      </w:r>
      <w:r>
        <w:t xml:space="preserve">English stop bursts had a lower kurtosis with regard to Spanish stop bursts (β = −0.646, HDI = [−0.755, −0.542], ROPE = 0, MPE = 1), and the voiced segments presumably had a higher kurtosis than the voiceled segments (β = 0.290, HDI = [0.221, 0.361], ROPE = 0, MPE = 1), though there was evidence of a language × phoneme interaction (β = character(0), HDI = character(0), ROPE = numeric(0), MPE = numeric(0)).</w:t>
      </w:r>
      <w:r>
        <w:t xml:space="preserve"> </w:t>
      </w:r>
      <w:r>
        <w:t xml:space="preserve"> </w:t>
      </w:r>
      <w:r>
        <w:t xml:space="preserve">Specifically, kurtosis was higher in the voiced stop bursts of Spanish (XXX), but there was no evidence of a voicing difference in the English data (XXX).</w:t>
      </w:r>
      <w:r>
        <w:t xml:space="preserve"> </w:t>
      </w:r>
      <w:r>
        <w:t xml:space="preserve">Neither F1 (β = −0.027, HDI = [−0.067, 0.015], ROPE = 1, MPE = 0.903) nor F2 (β = 0.001, HDI = [−0.038, 0.043], ROPE = 1, MPE = 0.509) had any influence on kurtosis.</w:t>
      </w:r>
    </w:p>
    <w:p>
      <w:pPr>
        <w:pStyle w:val="Textkrper"/>
      </w:pPr>
      <w:r>
        <w:rPr>
          <w:bCs/>
          <w:b/>
        </w:rPr>
        <w:t xml:space="preserve">Standard deviation.</w:t>
      </w:r>
    </w:p>
    <w:p>
      <w:pPr>
        <w:pStyle w:val="Textkrper"/>
      </w:pPr>
      <w:r>
        <w:t xml:space="preserve">(β = 0.490, HDI = [0.343, 0.648], ROPE = 0, MPE = 1)</w:t>
      </w:r>
    </w:p>
    <w:p>
      <w:pPr>
        <w:pStyle w:val="Textkrper"/>
      </w:pPr>
      <w:r>
        <w:t xml:space="preserve">(β = −0.282, HDI = [−0.355, −0.204], ROPE = 0, MPE = 1)</w:t>
      </w:r>
    </w:p>
    <w:p>
      <w:pPr>
        <w:pStyle w:val="Textkrper"/>
      </w:pPr>
      <w:r>
        <w:t xml:space="preserve">(β = −0.001, HDI = [−0.051, 0.051], ROPE = 1, MPE = 0.509)</w:t>
      </w:r>
    </w:p>
    <w:p>
      <w:pPr>
        <w:pStyle w:val="Textkrper"/>
      </w:pPr>
      <w:r>
        <w:t xml:space="preserve">(β = 0.007, HDI = [−0.044, 0.061], ROPE = 1, MPE = 0.595)</w:t>
      </w:r>
    </w:p>
    <w:p>
      <w:pPr>
        <w:pStyle w:val="Textkrper"/>
      </w:pPr>
      <w:r>
        <w:t xml:space="preserve">(β = character(0), HDI = character(0), ROPE = numeric(0), MPE = numeric(0))</w:t>
      </w:r>
    </w:p>
    <w:p>
      <w:pPr>
        <w:pStyle w:val="Textkrper"/>
      </w:pPr>
      <w:r>
        <w:rPr>
          <w:bCs/>
          <w:b/>
        </w:rPr>
        <w:t xml:space="preserve">Skewness.</w:t>
      </w:r>
    </w:p>
    <w:p>
      <w:pPr>
        <w:pStyle w:val="Textkrper"/>
      </w:pPr>
      <w:r>
        <w:t xml:space="preserve">(β = −0.665, HDI = [−0.774, −0.561], ROPE = 0, MPE = 1)</w:t>
      </w:r>
    </w:p>
    <w:p>
      <w:pPr>
        <w:pStyle w:val="Textkrper"/>
      </w:pPr>
      <w:r>
        <w:t xml:space="preserve">(β = 0.290, HDI = [0.222, 0.362], ROPE = 0, MPE = 1)</w:t>
      </w:r>
    </w:p>
    <w:p>
      <w:pPr>
        <w:pStyle w:val="Textkrper"/>
      </w:pPr>
      <w:r>
        <w:t xml:space="preserve">(β = −0.016, HDI = [−0.058, 0.022], ROPE = 1, MPE = 0.771)</w:t>
      </w:r>
    </w:p>
    <w:p>
      <w:pPr>
        <w:pStyle w:val="Textkrper"/>
      </w:pPr>
      <w:r>
        <w:t xml:space="preserve">(β = −0.011, HDI = [−0.051, 0.030], ROPE = 1, MPE = 0.708)</w:t>
      </w:r>
    </w:p>
    <w:p>
      <w:pPr>
        <w:pStyle w:val="Textkrper"/>
      </w:pPr>
      <w:r>
        <w:t xml:space="preserve">(β = character(0), HDI = character(0), ROPE = numeric(0), MPE = numeric(0))</w:t>
      </w:r>
    </w:p>
    <w:p>
      <w:pPr>
        <w:pStyle w:val="CaptionedFigure"/>
      </w:pPr>
      <w:r>
        <w:drawing>
          <wp:inline>
            <wp:extent cx="5969000" cy="377668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Posterior medians ± 95% and 66% credible intervals for VOT and burst metrics of monolingual coronal stops.</w:t>
      </w:r>
    </w:p>
    <w:bookmarkStart w:id="31" w:name="interim-discussion"/>
    <w:p>
      <w:pPr>
        <w:pStyle w:val="berschrift3"/>
      </w:pPr>
      <w:r>
        <w:t xml:space="preserve">Interim discussion.</w:t>
      </w:r>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bookmarkEnd w:id="31"/>
    <w:bookmarkEnd w:id="32"/>
    <w:bookmarkStart w:id="35" w:name="experiment-2-bilinguals"/>
    <w:p>
      <w:pPr>
        <w:pStyle w:val="berschrift2"/>
      </w:pPr>
      <w:r>
        <w:t xml:space="preserve">Experiment 2: Bilinguals</w:t>
      </w:r>
    </w:p>
    <w:p>
      <w:pPr>
        <w:pStyle w:val="FirstParagraph"/>
      </w:pPr>
      <w:r>
        <w:t xml:space="preserve">Model info here.</w:t>
      </w:r>
    </w:p>
    <w:p>
      <w:pPr>
        <w:pStyle w:val="CaptionedFigure"/>
      </w:pPr>
      <w:r>
        <w:drawing>
          <wp:inline>
            <wp:extent cx="5969000" cy="3979333"/>
            <wp:effectExtent b="0" l="0" r="0" t="0"/>
            <wp:docPr descr="Figure 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VOT and burst metrics of coronal stops (/d/, /t/) from bilingual speakers as a function of language (English, Spanish). Transparent points represent raw data. Solid points indicate posterior means ± 95% and 66% credible intervals.</w:t>
      </w:r>
    </w:p>
    <w:p>
      <w:pPr>
        <w:pStyle w:val="Textkrper"/>
      </w:pPr>
      <w:r>
        <w:rPr>
          <w:bCs/>
          <w:b/>
        </w:rPr>
        <w:t xml:space="preserve">Voice-onset time.</w:t>
      </w:r>
    </w:p>
    <w:p>
      <w:pPr>
        <w:pStyle w:val="Textkrper"/>
      </w:pPr>
      <w:r>
        <w:t xml:space="preserve">(β = 0.523, HDI = [0.481, 0.566], ROPE = 0, MPE = 1)</w:t>
      </w:r>
    </w:p>
    <w:p>
      <w:pPr>
        <w:pStyle w:val="Textkrper"/>
      </w:pPr>
      <w:r>
        <w:t xml:space="preserve">(β = −0.633, HDI = [−0.738, −0.522], ROPE = 0, MPE = 1)</w:t>
      </w:r>
    </w:p>
    <w:p>
      <w:pPr>
        <w:pStyle w:val="Textkrper"/>
      </w:pPr>
      <w:r>
        <w:t xml:space="preserve">(β = 0.016, HDI = [−0.013, 0.049], ROPE = 1, MPE = 0.847)</w:t>
      </w:r>
    </w:p>
    <w:p>
      <w:pPr>
        <w:pStyle w:val="Textkrper"/>
      </w:pPr>
      <w:r>
        <w:t xml:space="preserve">(β = −0.016, HDI = [−0.053, 0.020], ROPE = 1, MPE = 0.813)</w:t>
      </w:r>
    </w:p>
    <w:p>
      <w:pPr>
        <w:pStyle w:val="Textkrper"/>
      </w:pPr>
      <w:r>
        <w:t xml:space="preserve">(β = character(0), HDI = character(0), ROPE = numeric(0), MPE = numeric(0))</w:t>
      </w:r>
    </w:p>
    <w:p>
      <w:pPr>
        <w:pStyle w:val="Textkrper"/>
      </w:pPr>
      <w:r>
        <w:rPr>
          <w:bCs/>
          <w:b/>
        </w:rPr>
        <w:t xml:space="preserve">Relative intensity.</w:t>
      </w:r>
    </w:p>
    <w:p>
      <w:pPr>
        <w:pStyle w:val="Textkrper"/>
      </w:pPr>
      <w:r>
        <w:t xml:space="preserve">(β = 0.097, HDI = [0.030, 0.161], ROPE = 0.543, MPE = 0.997)</w:t>
      </w:r>
    </w:p>
    <w:p>
      <w:pPr>
        <w:pStyle w:val="Textkrper"/>
      </w:pPr>
      <w:r>
        <w:t xml:space="preserve">(β = −0.070, HDI = [−0.147, 0.011], ROPE = 0.787, MPE = 0.959)</w:t>
      </w:r>
    </w:p>
    <w:p>
      <w:pPr>
        <w:pStyle w:val="Textkrper"/>
      </w:pPr>
      <w:r>
        <w:t xml:space="preserve">(β = −0.224, HDI = [−0.303, −0.139], ROPE = 0, MPE = 1)</w:t>
      </w:r>
    </w:p>
    <w:p>
      <w:pPr>
        <w:pStyle w:val="Textkrper"/>
      </w:pPr>
      <w:r>
        <w:t xml:space="preserve">(β = −0.073, HDI = [−0.134, −0.014], ROPE = 0.821, MPE = 0.991)</w:t>
      </w:r>
    </w:p>
    <w:p>
      <w:pPr>
        <w:pStyle w:val="Textkrper"/>
      </w:pPr>
      <w:r>
        <w:t xml:space="preserve">(β = character(0), HDI = character(0), ROPE = numeric(0), MPE = numeric(0))</w:t>
      </w:r>
    </w:p>
    <w:p>
      <w:pPr>
        <w:pStyle w:val="Textkrper"/>
      </w:pPr>
      <w:r>
        <w:rPr>
          <w:bCs/>
          <w:b/>
        </w:rPr>
        <w:t xml:space="preserve">Center of gravity.</w:t>
      </w:r>
    </w:p>
    <w:p>
      <w:pPr>
        <w:pStyle w:val="Textkrper"/>
      </w:pPr>
      <w:r>
        <w:t xml:space="preserve">(β = 0.661, HDI = [0.631, 0.692], ROPE = 0, MPE = 1)</w:t>
      </w:r>
    </w:p>
    <w:p>
      <w:pPr>
        <w:pStyle w:val="Textkrper"/>
      </w:pPr>
      <w:r>
        <w:t xml:space="preserve">(β = −0.308, HDI = [−0.340, −0.270], ROPE = 0, MPE = 1)</w:t>
      </w:r>
    </w:p>
    <w:p>
      <w:pPr>
        <w:pStyle w:val="Textkrper"/>
      </w:pPr>
      <w:r>
        <w:t xml:space="preserve">(β = 0.036, HDI = [−0.001, 0.074], ROPE = 1, MPE = 0.967)</w:t>
      </w:r>
    </w:p>
    <w:p>
      <w:pPr>
        <w:pStyle w:val="Textkrper"/>
      </w:pPr>
      <w:r>
        <w:t xml:space="preserve">(β = −0.015, HDI = [−0.053, 0.022], ROPE = 1, MPE = 0.783)</w:t>
      </w:r>
    </w:p>
    <w:p>
      <w:pPr>
        <w:pStyle w:val="Textkrper"/>
      </w:pPr>
      <w:r>
        <w:t xml:space="preserve">(β = character(0), HDI = character(0), ROPE = numeric(0), MPE = numeric(0))</w:t>
      </w:r>
    </w:p>
    <w:p>
      <w:pPr>
        <w:pStyle w:val="Textkrper"/>
      </w:pPr>
      <w:r>
        <w:rPr>
          <w:bCs/>
          <w:b/>
        </w:rPr>
        <w:t xml:space="preserve">Kurtosis.</w:t>
      </w:r>
    </w:p>
    <w:p>
      <w:pPr>
        <w:pStyle w:val="Textkrper"/>
      </w:pPr>
      <w:r>
        <w:t xml:space="preserve">(β = −0.635, HDI = [−0.668, −0.603], ROPE = 0, MPE = 1)</w:t>
      </w:r>
    </w:p>
    <w:p>
      <w:pPr>
        <w:pStyle w:val="Textkrper"/>
      </w:pPr>
      <w:r>
        <w:t xml:space="preserve">(β = 0.276, HDI = [0.237, 0.313], ROPE = 0, MPE = 1)</w:t>
      </w:r>
    </w:p>
    <w:p>
      <w:pPr>
        <w:pStyle w:val="Textkrper"/>
      </w:pPr>
      <w:r>
        <w:t xml:space="preserve">(β = −0.018, HDI = [−0.056, 0.022], ROPE = 1, MPE = 0.808)</w:t>
      </w:r>
    </w:p>
    <w:p>
      <w:pPr>
        <w:pStyle w:val="Textkrper"/>
      </w:pPr>
      <w:r>
        <w:t xml:space="preserve">(β = −0.009, HDI = [−0.048, 0.029], ROPE = 1, MPE = 0.666)</w:t>
      </w:r>
    </w:p>
    <w:p>
      <w:pPr>
        <w:pStyle w:val="Textkrper"/>
      </w:pPr>
      <w:r>
        <w:t xml:space="preserve">(β = character(0), HDI = character(0), ROPE = numeric(0), MPE = numeric(0))</w:t>
      </w:r>
    </w:p>
    <w:p>
      <w:pPr>
        <w:pStyle w:val="Textkrper"/>
      </w:pPr>
      <w:r>
        <w:rPr>
          <w:bCs/>
          <w:b/>
        </w:rPr>
        <w:t xml:space="preserve">Standard deviation.</w:t>
      </w:r>
    </w:p>
    <w:p>
      <w:pPr>
        <w:pStyle w:val="Textkrper"/>
      </w:pPr>
      <w:r>
        <w:t xml:space="preserve">(β = 0.568, HDI = [0.534, 0.604], ROPE = 0, MPE = 1)</w:t>
      </w:r>
    </w:p>
    <w:p>
      <w:pPr>
        <w:pStyle w:val="Textkrper"/>
      </w:pPr>
      <w:r>
        <w:t xml:space="preserve">(β = −0.230, HDI = [−0.282, −0.178], ROPE = 0, MPE = 1)</w:t>
      </w:r>
    </w:p>
    <w:p>
      <w:pPr>
        <w:pStyle w:val="Textkrper"/>
      </w:pPr>
      <w:r>
        <w:t xml:space="preserve">(β = 0.000, HDI = [−0.043, 0.046], ROPE = 1, MPE = 0.506)</w:t>
      </w:r>
    </w:p>
    <w:p>
      <w:pPr>
        <w:pStyle w:val="Textkrper"/>
      </w:pPr>
      <w:r>
        <w:t xml:space="preserve">(β = 0.004, HDI = [−0.038, 0.050], ROPE = 1, MPE = 0.571)</w:t>
      </w:r>
    </w:p>
    <w:p>
      <w:pPr>
        <w:pStyle w:val="Textkrper"/>
      </w:pPr>
      <w:r>
        <w:t xml:space="preserve">(β = character(0), HDI = character(0), ROPE = numeric(0), MPE = numeric(0))</w:t>
      </w:r>
    </w:p>
    <w:p>
      <w:pPr>
        <w:pStyle w:val="Textkrper"/>
      </w:pPr>
      <w:r>
        <w:rPr>
          <w:bCs/>
          <w:b/>
        </w:rPr>
        <w:t xml:space="preserve">Skewness.</w:t>
      </w:r>
    </w:p>
    <w:p>
      <w:pPr>
        <w:pStyle w:val="Textkrper"/>
      </w:pPr>
      <w:r>
        <w:t xml:space="preserve">(β = −0.611, HDI = [−0.642, −0.576], ROPE = 0, MPE = 1)</w:t>
      </w:r>
    </w:p>
    <w:p>
      <w:pPr>
        <w:pStyle w:val="Textkrper"/>
      </w:pPr>
      <w:r>
        <w:t xml:space="preserve">(β = 0.298, HDI = [0.264, 0.337], ROPE = 0, MPE = 1)</w:t>
      </w:r>
    </w:p>
    <w:p>
      <w:pPr>
        <w:pStyle w:val="Textkrper"/>
      </w:pPr>
      <w:r>
        <w:t xml:space="preserve">(β = −0.029, HDI = [−0.068, 0.012], ROPE = 1, MPE = 0.921)</w:t>
      </w:r>
    </w:p>
    <w:p>
      <w:pPr>
        <w:pStyle w:val="Textkrper"/>
      </w:pPr>
      <w:r>
        <w:t xml:space="preserve">(β = −0.008, HDI = [−0.047, 0.031], ROPE = 1, MPE = 0.649)</w:t>
      </w:r>
    </w:p>
    <w:p>
      <w:pPr>
        <w:pStyle w:val="Textkrper"/>
      </w:pPr>
      <w:r>
        <w:t xml:space="preserve">(β = character(0), HDI = character(0), ROPE = numeric(0), MPE = numeric(0))</w:t>
      </w:r>
    </w:p>
    <w:p>
      <w:pPr>
        <w:pStyle w:val="CaptionedFigure"/>
      </w:pPr>
      <w:r>
        <w:drawing>
          <wp:inline>
            <wp:extent cx="5969000" cy="377668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Posterior medians ± 95% and 66% credible intervals for VOT and burst metrics of bilingual coronal stops.</w:t>
      </w:r>
    </w:p>
    <w:bookmarkEnd w:id="35"/>
    <w:bookmarkStart w:id="38" w:name="experiment-3-bilingual-poa-data"/>
    <w:p>
      <w:pPr>
        <w:pStyle w:val="berschrift2"/>
      </w:pPr>
      <w:r>
        <w:t xml:space="preserve">Experiment 3: Bilingual POA data</w:t>
      </w:r>
    </w:p>
    <w:p>
      <w:pPr>
        <w:pStyle w:val="FirstParagraph"/>
      </w:pPr>
      <w:r>
        <w:t xml:space="preserve">Model info here.</w:t>
      </w:r>
    </w:p>
    <w:p>
      <w:pPr>
        <w:pStyle w:val="CaptionedFigure"/>
      </w:pPr>
      <w:r>
        <w:drawing>
          <wp:inline>
            <wp:extent cx="5969000" cy="3979333"/>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Textkrper"/>
      </w:pPr>
      <w:r>
        <w:rPr>
          <w:bCs/>
          <w:b/>
        </w:rPr>
        <w:t xml:space="preserve">Voice-onset time.</w:t>
      </w:r>
    </w:p>
    <w:p>
      <w:pPr>
        <w:pStyle w:val="Textkrper"/>
      </w:pPr>
      <w:r>
        <w:t xml:space="preserve">(β = 0.802, HDI = [0.750, 0.852], ROPE = 0, MPE = 1)</w:t>
      </w:r>
    </w:p>
    <w:p>
      <w:pPr>
        <w:pStyle w:val="Textkrper"/>
      </w:pPr>
      <w:r>
        <w:t xml:space="preserve">(β = 0.134, HDI = [0.029, 0.236], ROPE = 0.248, MPE = 0.992)</w:t>
      </w:r>
    </w:p>
    <w:p>
      <w:pPr>
        <w:pStyle w:val="Textkrper"/>
      </w:pPr>
      <w:r>
        <w:t xml:space="preserve">(β = 0.013, HDI = [−0.025, 0.050], ROPE = 1, MPE = 0.751)</w:t>
      </w:r>
    </w:p>
    <w:p>
      <w:pPr>
        <w:pStyle w:val="Textkrper"/>
      </w:pPr>
      <w:r>
        <w:t xml:space="preserve">(β = 0.000, HDI = [−0.046, 0.043], ROPE = 1, MPE = 0.505)</w:t>
      </w:r>
    </w:p>
    <w:p>
      <w:pPr>
        <w:pStyle w:val="Textkrper"/>
      </w:pPr>
      <w:r>
        <w:t xml:space="preserve">(β = character(0), HDI = character(0), ROPE = numeric(0), MPE = numeric(0))</w:t>
      </w:r>
    </w:p>
    <w:p>
      <w:pPr>
        <w:pStyle w:val="Textkrper"/>
      </w:pPr>
      <w:r>
        <w:rPr>
          <w:bCs/>
          <w:b/>
        </w:rPr>
        <w:t xml:space="preserve">Relative intensity.</w:t>
      </w:r>
    </w:p>
    <w:p>
      <w:pPr>
        <w:pStyle w:val="Textkrper"/>
      </w:pPr>
      <w:r>
        <w:t xml:space="preserve">(β = 0.099, HDI = [0.042, 0.155], ROPE = 0.518, MPE = 1)</w:t>
      </w:r>
    </w:p>
    <w:p>
      <w:pPr>
        <w:pStyle w:val="Textkrper"/>
      </w:pPr>
      <w:r>
        <w:t xml:space="preserve">(β = −0.475, HDI = [−0.680, −0.269], ROPE = 0, MPE = 1)</w:t>
      </w:r>
    </w:p>
    <w:p>
      <w:pPr>
        <w:pStyle w:val="Textkrper"/>
      </w:pPr>
      <w:r>
        <w:t xml:space="preserve">(β = −0.222, HDI = [−0.304, −0.136], ROPE = 0, MPE = 1)</w:t>
      </w:r>
    </w:p>
    <w:p>
      <w:pPr>
        <w:pStyle w:val="Textkrper"/>
      </w:pPr>
      <w:r>
        <w:t xml:space="preserve">(β = −0.059, HDI = [−0.116, −0.001], ROPE = 0.945, MPE = 0.978)</w:t>
      </w:r>
    </w:p>
    <w:p>
      <w:pPr>
        <w:pStyle w:val="Textkrper"/>
      </w:pPr>
      <w:r>
        <w:t xml:space="preserve">(β = character(0), HDI = character(0), ROPE = numeric(0), MPE = numeric(0))</w:t>
      </w:r>
    </w:p>
    <w:p>
      <w:pPr>
        <w:pStyle w:val="Textkrper"/>
      </w:pPr>
      <w:r>
        <w:rPr>
          <w:bCs/>
          <w:b/>
        </w:rPr>
        <w:t xml:space="preserve">Center of gravity.</w:t>
      </w:r>
    </w:p>
    <w:p>
      <w:pPr>
        <w:pStyle w:val="Textkrper"/>
      </w:pPr>
      <w:r>
        <w:t xml:space="preserve">(β = 0.206, HDI = [0.177, 0.236], ROPE = 0, MPE = 1)</w:t>
      </w:r>
    </w:p>
    <w:p>
      <w:pPr>
        <w:pStyle w:val="Textkrper"/>
      </w:pPr>
      <w:r>
        <w:t xml:space="preserve">(β = 0.953, HDI = [0.862, 1.041], ROPE = 0, MPE = 1)</w:t>
      </w:r>
    </w:p>
    <w:p>
      <w:pPr>
        <w:pStyle w:val="Textkrper"/>
      </w:pPr>
      <w:r>
        <w:t xml:space="preserve">(β = 0.019, HDI = [−0.008, 0.049], ROPE = 1, MPE = 0.905)</w:t>
      </w:r>
    </w:p>
    <w:p>
      <w:pPr>
        <w:pStyle w:val="Textkrper"/>
      </w:pPr>
      <w:r>
        <w:t xml:space="preserve">(β = −0.010, HDI = [−0.041, 0.020], ROPE = 1, MPE = 0.743)</w:t>
      </w:r>
    </w:p>
    <w:p>
      <w:pPr>
        <w:pStyle w:val="Textkrper"/>
      </w:pPr>
      <w:r>
        <w:t xml:space="preserve">(β = character(0), HDI = character(0), ROPE = numeric(0), MPE = numeric(0))</w:t>
      </w:r>
    </w:p>
    <w:p>
      <w:pPr>
        <w:pStyle w:val="Textkrper"/>
      </w:pPr>
      <w:r>
        <w:rPr>
          <w:bCs/>
          <w:b/>
        </w:rPr>
        <w:t xml:space="preserve">Kurtosis.</w:t>
      </w:r>
    </w:p>
    <w:p>
      <w:pPr>
        <w:pStyle w:val="Textkrper"/>
      </w:pPr>
      <w:r>
        <w:t xml:space="preserve">(β = −0.204, HDI = [−0.237, −0.173], ROPE = 0, MPE = 1)</w:t>
      </w:r>
    </w:p>
    <w:p>
      <w:pPr>
        <w:pStyle w:val="Textkrper"/>
      </w:pPr>
      <w:r>
        <w:t xml:space="preserve">(β = −0.888, HDI = [−1.006, −0.774], ROPE = 0, MPE = 1)</w:t>
      </w:r>
    </w:p>
    <w:p>
      <w:pPr>
        <w:pStyle w:val="Textkrper"/>
      </w:pPr>
      <w:r>
        <w:t xml:space="preserve">(β = 0.015, HDI = [−0.016, 0.047], ROPE = 1, MPE = 0.831)</w:t>
      </w:r>
    </w:p>
    <w:p>
      <w:pPr>
        <w:pStyle w:val="Textkrper"/>
      </w:pPr>
      <w:r>
        <w:t xml:space="preserve">(β = −0.015, HDI = [−0.047, 0.017], ROPE = 1, MPE = 0.822)</w:t>
      </w:r>
    </w:p>
    <w:p>
      <w:pPr>
        <w:pStyle w:val="Textkrper"/>
      </w:pPr>
      <w:r>
        <w:t xml:space="preserve">(β = character(0), HDI = character(0), ROPE = numeric(0), MPE = numeric(0))</w:t>
      </w:r>
    </w:p>
    <w:p>
      <w:pPr>
        <w:pStyle w:val="Textkrper"/>
      </w:pPr>
      <w:r>
        <w:rPr>
          <w:bCs/>
          <w:b/>
        </w:rPr>
        <w:t xml:space="preserve">Standard deviation.</w:t>
      </w:r>
    </w:p>
    <w:p>
      <w:pPr>
        <w:pStyle w:val="Textkrper"/>
      </w:pPr>
      <w:r>
        <w:t xml:space="preserve">(β = 0.230, HDI = [0.186, 0.271], ROPE = 0, MPE = 1)</w:t>
      </w:r>
    </w:p>
    <w:p>
      <w:pPr>
        <w:pStyle w:val="Textkrper"/>
      </w:pPr>
      <w:r>
        <w:t xml:space="preserve">(β = 0.766, HDI = [0.671, 0.870], ROPE = 0, MPE = 1)</w:t>
      </w:r>
    </w:p>
    <w:p>
      <w:pPr>
        <w:pStyle w:val="Textkrper"/>
      </w:pPr>
      <w:r>
        <w:t xml:space="preserve">(β = −0.012, HDI = [−0.050, 0.030], ROPE = 1, MPE = 0.725)</w:t>
      </w:r>
    </w:p>
    <w:p>
      <w:pPr>
        <w:pStyle w:val="Textkrper"/>
      </w:pPr>
      <w:r>
        <w:t xml:space="preserve">(β = 0.008, HDI = [−0.035, 0.049], ROPE = 1, MPE = 0.662)</w:t>
      </w:r>
    </w:p>
    <w:p>
      <w:pPr>
        <w:pStyle w:val="Textkrper"/>
      </w:pPr>
      <w:r>
        <w:t xml:space="preserve">(β = character(0), HDI = character(0), ROPE = numeric(0), MPE = numeric(0))</w:t>
      </w:r>
    </w:p>
    <w:p>
      <w:pPr>
        <w:pStyle w:val="Textkrper"/>
      </w:pPr>
      <w:r>
        <w:rPr>
          <w:bCs/>
          <w:b/>
        </w:rPr>
        <w:t xml:space="preserve">Skewness.</w:t>
      </w:r>
    </w:p>
    <w:p>
      <w:pPr>
        <w:pStyle w:val="Textkrper"/>
      </w:pPr>
      <w:r>
        <w:t xml:space="preserve">(β = −0.222, HDI = [−0.255, −0.188], ROPE = 0, MPE = 1)</w:t>
      </w:r>
    </w:p>
    <w:p>
      <w:pPr>
        <w:pStyle w:val="Textkrper"/>
      </w:pPr>
      <w:r>
        <w:t xml:space="preserve">(β = −0.888, HDI = [−0.994, −0.781], ROPE = 0, MPE = 1)</w:t>
      </w:r>
    </w:p>
    <w:p>
      <w:pPr>
        <w:pStyle w:val="Textkrper"/>
      </w:pPr>
      <w:r>
        <w:t xml:space="preserve">(β = −0.024, HDI = [−0.058, 0.009], ROPE = 1, MPE = 0.924)</w:t>
      </w:r>
    </w:p>
    <w:p>
      <w:pPr>
        <w:pStyle w:val="Textkrper"/>
      </w:pPr>
      <w:r>
        <w:t xml:space="preserve">(β = 0.009, HDI = [−0.025, 0.042], ROPE = 1, MPE = 0.696)</w:t>
      </w:r>
    </w:p>
    <w:p>
      <w:pPr>
        <w:pStyle w:val="Textkrper"/>
      </w:pPr>
      <w:r>
        <w:t xml:space="preserve">(β = character(0), HDI = character(0), ROPE = numeric(0), MPE = numeric(0))</w:t>
      </w:r>
    </w:p>
    <w:p>
      <w:pPr>
        <w:pStyle w:val="CaptionedFigure"/>
      </w:pPr>
      <w:r>
        <w:drawing>
          <wp:inline>
            <wp:extent cx="5969000" cy="377668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77668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  </w:t>
      </w:r>
      <w:r>
        <w:t xml:space="preserve"> </w:t>
      </w:r>
      <w:r>
        <w:t xml:space="preserve">plot-poa-bilinguals-summary</w:t>
      </w:r>
    </w:p>
    <w:bookmarkEnd w:id="38"/>
    <w:bookmarkEnd w:id="39"/>
    <w:bookmarkStart w:id="42" w:name="discussion"/>
    <w:p>
      <w:pPr>
        <w:pStyle w:val="berschrift1"/>
      </w:pPr>
      <w:r>
        <w:t xml:space="preserve">Discussion</w:t>
      </w:r>
    </w:p>
    <w:bookmarkStart w:id="40" w:name="summary-of-findings"/>
    <w:p>
      <w:pPr>
        <w:pStyle w:val="berschrift2"/>
      </w:pPr>
      <w:r>
        <w:t xml:space="preserve">Summary of findings</w:t>
      </w:r>
    </w:p>
    <w:bookmarkEnd w:id="40"/>
    <w:bookmarkStart w:id="41" w:name="interpretation-and-implications"/>
    <w:p>
      <w:pPr>
        <w:pStyle w:val="berschrift2"/>
      </w:pPr>
      <w:r>
        <w:t xml:space="preserve">Interpretation and implications</w:t>
      </w:r>
    </w:p>
    <w:p>
      <w:r>
        <w:br w:type="page"/>
      </w:r>
    </w:p>
    <w:bookmarkEnd w:id="41"/>
    <w:bookmarkEnd w:id="42"/>
    <w:bookmarkStart w:id="67" w:name="references"/>
    <w:p>
      <w:pPr>
        <w:pStyle w:val="berschrift1"/>
      </w:pPr>
      <w:r>
        <w:t xml:space="preserve">References</w:t>
      </w:r>
    </w:p>
    <w:bookmarkStart w:id="58" w:name="refs"/>
    <w:bookmarkStart w:id="44"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3">
        <w:r>
          <w:rPr>
            <w:rStyle w:val="Hyperlink"/>
          </w:rPr>
          <w:t xml:space="preserve">https://github.com/crsh/papaja</w:t>
        </w:r>
      </w:hyperlink>
    </w:p>
    <w:bookmarkEnd w:id="44"/>
    <w:bookmarkStart w:id="46"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45">
        <w:r>
          <w:rPr>
            <w:rStyle w:val="Hyperlink"/>
          </w:rPr>
          <w:t xml:space="preserve">https://doi.org/10.18637/jss.v080.i01</w:t>
        </w:r>
      </w:hyperlink>
    </w:p>
    <w:bookmarkEnd w:id="46"/>
    <w:bookmarkStart w:id="48"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47">
        <w:r>
          <w:rPr>
            <w:rStyle w:val="Hyperlink"/>
          </w:rPr>
          <w:t xml:space="preserve">https://doi.org/10.32614/RJ-2018-017</w:t>
        </w:r>
      </w:hyperlink>
    </w:p>
    <w:bookmarkEnd w:id="48"/>
    <w:bookmarkStart w:id="49" w:name="ref-cohen1988statistical"/>
    <w:p>
      <w:pPr>
        <w:pStyle w:val="Literaturverzeichnis"/>
      </w:pPr>
      <w:r>
        <w:t xml:space="preserve">Cohen, J. (1988).</w:t>
      </w:r>
      <w:r>
        <w:t xml:space="preserve"> </w:t>
      </w:r>
      <w:r>
        <w:rPr>
          <w:iCs/>
          <w:i/>
        </w:rPr>
        <w:t xml:space="preserve">Statistical power analysis for the behavioral sciences</w:t>
      </w:r>
      <w:r>
        <w:t xml:space="preserve">. Hillsdale, NJ: Erlbaum.</w:t>
      </w:r>
    </w:p>
    <w:bookmarkEnd w:id="49"/>
    <w:bookmarkStart w:id="50" w:name="ref-cohen2013statistical"/>
    <w:p>
      <w:pPr>
        <w:pStyle w:val="Literaturverzeichnis"/>
      </w:pPr>
      <w:r>
        <w:t xml:space="preserve">Cohen, J. (2013).</w:t>
      </w:r>
      <w:r>
        <w:t xml:space="preserve"> </w:t>
      </w:r>
      <w:r>
        <w:rPr>
          <w:iCs/>
          <w:i/>
        </w:rPr>
        <w:t xml:space="preserve">Statistical power analysis for the behavioral sciences</w:t>
      </w:r>
      <w:r>
        <w:t xml:space="preserve">. Routledge.</w:t>
      </w:r>
    </w:p>
    <w:bookmarkEnd w:id="50"/>
    <w:bookmarkStart w:id="52" w:name="ref-Gelman_2017"/>
    <w:p>
      <w:pPr>
        <w:pStyle w:val="Literaturverzeichnis"/>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1">
        <w:r>
          <w:rPr>
            <w:rStyle w:val="Hyperlink"/>
          </w:rPr>
          <w:t xml:space="preserve">https://doi.org/10.3390/e19100555</w:t>
        </w:r>
      </w:hyperlink>
    </w:p>
    <w:bookmarkEnd w:id="52"/>
    <w:bookmarkStart w:id="53" w:name="ref-kruschke2018rejecting"/>
    <w:p>
      <w:pPr>
        <w:pStyle w:val="Literaturverzeichnis"/>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53"/>
    <w:bookmarkStart w:id="55"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54">
        <w:r>
          <w:rPr>
            <w:rStyle w:val="Hyperlink"/>
          </w:rPr>
          <w:t xml:space="preserve">https://www.R-project.org/</w:t>
        </w:r>
      </w:hyperlink>
    </w:p>
    <w:bookmarkEnd w:id="55"/>
    <w:bookmarkStart w:id="56" w:name="ref-van2014bayesian"/>
    <w:p>
      <w:pPr>
        <w:pStyle w:val="Literaturverzeichnis"/>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56"/>
    <w:bookmarkStart w:id="57" w:name="ref-vasishth2018bayesian"/>
    <w:p>
      <w:pPr>
        <w:pStyle w:val="Literaturverzeichnis"/>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57"/>
    <w:bookmarkEnd w:id="58"/>
    <w:p>
      <w:pPr>
        <w:pStyle w:val="h1-pagebreak"/>
      </w:pPr>
      <w:r>
        <w:t xml:space="preserve">Appendix A</w:t>
      </w:r>
    </w:p>
    <w:bookmarkStart w:id="62" w:name="experiment-0-vowels"/>
    <w:p>
      <w:pPr>
        <w:pStyle w:val="berschrift2"/>
      </w:pPr>
      <w:r>
        <w:t xml:space="preserve">Experiment 0: Vowels</w:t>
      </w:r>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0.008, HDI = [−0.221, 0.203], ROPE = 0.693, MPE = 0.536)</w:t>
      </w:r>
      <w:r>
        <w:t xml:space="preserve"> </w:t>
      </w:r>
      <w:r>
        <w:t xml:space="preserve">and F2</w:t>
      </w:r>
      <w:r>
        <w:t xml:space="preserve"> </w:t>
      </w:r>
      <w:r>
        <w:t xml:space="preserve">(β = 0.222, HDI = [−0.007, 0.462], ROPE = 0.121, MPE = 0.967).</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0.124, HDI = [0.007, 0.235], ROPE = 0.328, MPE = 0.981),</w:t>
      </w:r>
      <w:r>
        <w:t xml:space="preserve"> </w:t>
      </w:r>
      <w:r>
        <w:t xml:space="preserve">nor on F2</w:t>
      </w:r>
      <w:r>
        <w:t xml:space="preserve"> </w:t>
      </w:r>
      <w:r>
        <w:t xml:space="preserve">(β = 0.129, HDI = [−0.042, 0.318], ROPE = 0.353, MPE = 0.917).</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9"/>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60"/>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auto" w:w="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p>
      <w:pPr>
        <w:pStyle w:val="h1-pagebreak"/>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6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h1-pagebreak"/>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p>
      <w:pPr>
        <w:pStyle w:val="h1-pagebreak"/>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auto" w:w="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p>
      <w:pPr>
        <w:pStyle w:val="h1-pagebreak"/>
      </w:pPr>
      <w:r>
        <w:t xml:space="preserve">Appendix E</w:t>
      </w:r>
    </w:p>
    <w:bookmarkEnd w:id="62"/>
    <w:bookmarkStart w:id="64" w:name="bayesian-data-analysis"/>
    <w:p>
      <w:pPr>
        <w:pStyle w:val="berschrift2"/>
      </w:pPr>
      <w:r>
        <w:t xml:space="preserve">Bayesian data analysis</w:t>
      </w:r>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Cs/>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3"/>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h1-pagebreak"/>
      </w:pPr>
      <w:r>
        <w:t xml:space="preserve">Appendix F</w:t>
      </w:r>
    </w:p>
    <w:bookmarkEnd w:id="64"/>
    <w:bookmarkStart w:id="65" w:name="about-this-document"/>
    <w:p>
      <w:pPr>
        <w:pStyle w:val="berschrift2"/>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bookmarkEnd w:id="65"/>
    <w:bookmarkStart w:id="66" w:name="session-info"/>
    <w:p>
      <w:pPr>
        <w:pStyle w:val="berschrift2"/>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2022-03-20</w:t>
      </w:r>
      <w:r>
        <w:br/>
      </w:r>
      <w:r>
        <w:rPr>
          <w:rStyle w:val="VerbatimChar"/>
        </w:rPr>
        <w:t xml:space="preserve">&gt;   pandoc   2.14.2 @ /Applications/RStudio.app/Contents/MacOS/pandoc/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bookdown                0.25 2022-03-16</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papaja            0.1.0.9997 2021-12-11</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tinylabels             0.2.3 2022-02-06</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bookmarkEnd w:id="66"/>
    <w:bookmarkEnd w:id="6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 depth explanations related to BDA in the psychological and speech sciences.</w:t>
      </w:r>
    </w:p>
  </w:footnote>
  <w:footnote w:id="63">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29" Target="media/rId29.pdf" /><Relationship Type="http://schemas.openxmlformats.org/officeDocument/2006/relationships/image" Id="rId61" Target="media/rId61.pdf"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9" Target="media/rId59.pdf" /><Relationship Type="http://schemas.openxmlformats.org/officeDocument/2006/relationships/image" Id="rId60" Target="media/rId60.pdf" /><Relationship Type="http://schemas.openxmlformats.org/officeDocument/2006/relationships/hyperlink" Id="rId45" Target="https://doi.org/10.18637/jss.v080.i01" TargetMode="External" /><Relationship Type="http://schemas.openxmlformats.org/officeDocument/2006/relationships/hyperlink" Id="rId47" Target="https://doi.org/10.32614/RJ-2018-017" TargetMode="External" /><Relationship Type="http://schemas.openxmlformats.org/officeDocument/2006/relationships/hyperlink" Id="rId51" Target="https://doi.org/10.3390/e19100555" TargetMode="External" /><Relationship Type="http://schemas.openxmlformats.org/officeDocument/2006/relationships/hyperlink" Id="rId43"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simonet@email.arizona.edu"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8637/jss.v080.i01" TargetMode="External" /><Relationship Type="http://schemas.openxmlformats.org/officeDocument/2006/relationships/hyperlink" Id="rId47" Target="https://doi.org/10.32614/RJ-2018-017" TargetMode="External" /><Relationship Type="http://schemas.openxmlformats.org/officeDocument/2006/relationships/hyperlink" Id="rId51" Target="https://doi.org/10.3390/e19100555" TargetMode="External" /><Relationship Type="http://schemas.openxmlformats.org/officeDocument/2006/relationships/hyperlink" Id="rId43"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2022-03-21T03:38:18Z</dcterms:created>
  <dcterms:modified xsi:type="dcterms:W3CDTF">2022-03-21T03:38:18Z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/Library/Frameworks/R.framework/Versions/4.1/Resources/library/papaja/rmd/apa6.csl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