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3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.0"/>
        <w:tblLook w:firstRow="0"/>
      </w:tblPr>
      <w:tblGrid>
        <w:gridCol w:w="7920"/>
      </w:tblGrid>
      <w:tr>
        <w:tc>
          <w:p>
            <w:pPr>
              <w:pStyle w:val="Compact"/>
              <w:jc w:val="center"/>
            </w:pPr>
            <w:r>
              <w:t xml:space="preserve">Miquel Simonet</w:t>
            </w:r>
            <w:r>
              <w:rPr>
                <w:vertAlign w:val="superscript"/>
              </w:rPr>
              <w:t xml:space="preserve">1</w:t>
            </w:r>
            <w:r>
              <w:t xml:space="preserve">, Joseph V. Casillas, &amp; Alex Aldrich</w:t>
            </w:r>
            <w:r>
              <w:rPr>
                <w:vertAlign w:val="superscript"/>
              </w:rP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University of Arizona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Rutgers University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Concordia College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      </w:r>
          </w:p>
        </w:tc>
      </w:tr>
    </w:tbl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author-note"/>
      <w:r>
        <w:t xml:space="preserve">Author note</w:t>
      </w:r>
      <w:bookmarkEnd w:id="20"/>
    </w:p>
    <w:p>
      <w:pPr>
        <w:pStyle w:val="FirstParagraph"/>
      </w:pPr>
      <w:r>
        <w:t xml:space="preserve">Correspondence concerning this article should be addressed to Miquel Simonet, Postal address. E-mail:</w:t>
      </w:r>
      <w:r>
        <w:t xml:space="preserve"> </w:t>
      </w:r>
      <w:hyperlink r:id="rId21">
        <w:r>
          <w:rPr>
            <w:rStyle w:val="Hyperlink"/>
          </w:rPr>
          <w:t xml:space="preserve">my@email.com</w:t>
        </w:r>
      </w:hyperlink>
    </w:p>
    <w:p>
      <w:pPr>
        <w:pStyle w:val="berschrift1"/>
      </w:pPr>
      <w:bookmarkStart w:id="22" w:name="overview"/>
      <w:r>
        <w:t xml:space="preserve">Overview</w:t>
      </w:r>
      <w:bookmarkEnd w:id="22"/>
    </w:p>
    <w:p>
      <w:pPr>
        <w:pStyle w:val="berschrift2"/>
      </w:pPr>
      <w:bookmarkStart w:id="23" w:name="bayesian-data-analysis"/>
      <w:r>
        <w:t xml:space="preserve">Bayesian data analysis</w:t>
      </w:r>
      <w:bookmarkEnd w:id="23"/>
    </w:p>
    <w:p>
      <w:pPr>
        <w:pStyle w:val="FirstParagraph"/>
      </w:pPr>
      <w:r>
        <w:t xml:space="preserve">This study employs Bayesian Data Analysis for quantitative inferential</w:t>
      </w:r>
      <w:r>
        <w:t xml:space="preserve"> </w:t>
      </w:r>
      <w:r>
        <w:t xml:space="preserve">statistics.</w:t>
      </w:r>
      <w:r>
        <w:t xml:space="preserve"> </w:t>
      </w:r>
      <w:r>
        <w:t xml:space="preserve">Specifically, this implies that we use Bayesian</w:t>
      </w:r>
      <w:r>
        <w:t xml:space="preserve"> </w:t>
      </w:r>
      <w:r>
        <w:rPr>
          <w:i/>
        </w:rPr>
        <w:t xml:space="preserve">credible intervals</w:t>
      </w:r>
      <w:r>
        <w:t xml:space="preserve"> </w:t>
      </w:r>
      <w:r>
        <w:t xml:space="preserve">to draw</w:t>
      </w:r>
      <w:r>
        <w:t xml:space="preserve"> </w:t>
      </w:r>
      <w:r>
        <w:t xml:space="preserve">statistical inferences.</w:t>
      </w:r>
      <w:r>
        <w:t xml:space="preserve"> </w:t>
      </w:r>
      <w:r>
        <w:t xml:space="preserve">A Bayesian model calculates a posterior distribution, i.e., a distribution of</w:t>
      </w:r>
      <w:r>
        <w:t xml:space="preserve"> </w:t>
      </w:r>
      <w:r>
        <w:t xml:space="preserve">plausible parameter values, given the data, a data-generating model, and any</w:t>
      </w:r>
      <w:r>
        <w:t xml:space="preserve"> </w:t>
      </w:r>
      <w:r>
        <w:t xml:space="preserve">prior information we have about those parameter values.</w:t>
      </w:r>
      <w:r>
        <w:t xml:space="preserve"> </w:t>
      </w:r>
      <w:r>
        <w:t xml:space="preserve">Posterior distributions are computationally costly.</w:t>
      </w:r>
      <w:r>
        <w:t xml:space="preserve"> </w:t>
      </w:r>
      <w:r>
        <w:t xml:space="preserve">For this reason, we use the Hamiltonian Markov Chain Monte Carlo algorithm</w:t>
      </w:r>
      <w:r>
        <w:t xml:space="preserve"> </w:t>
      </w:r>
      <w:r>
        <w:t xml:space="preserve">to obtain a sample that incldues thousands of values from the posterior</w:t>
      </w:r>
      <w:r>
        <w:t xml:space="preserve"> </w:t>
      </w:r>
      <w:r>
        <w:t xml:space="preserve">distribution.</w:t>
      </w:r>
      <w:r>
        <w:t xml:space="preserve"> </w:t>
      </w:r>
      <w:r>
        <w:t xml:space="preserve">In practical terms, what this means is that we do not calculate a single</w:t>
      </w:r>
      <w:r>
        <w:t xml:space="preserve"> </w:t>
      </w:r>
      <w:r>
        <w:t xml:space="preserve">point estimate for an effect</w:t>
      </w:r>
      <w:r>
        <w:t xml:space="preserve"> </w:t>
      </w:r>
      <m:oMath>
        <m:r>
          <m:t>β</m:t>
        </m:r>
      </m:oMath>
      <w:r>
        <w:t xml:space="preserve">, but rather we draw a sample of 4,000</w:t>
      </w:r>
      <w:r>
        <w:t xml:space="preserve"> </w:t>
      </w:r>
      <w:r>
        <w:t xml:space="preserve">plausible values for</w:t>
      </w:r>
      <w:r>
        <w:t xml:space="preserve"> </w:t>
      </w:r>
      <m:oMath>
        <m:r>
          <m:t>β</m:t>
        </m:r>
      </m:oMath>
      <w:r>
        <w:t xml:space="preserve">.</w:t>
      </w:r>
      <w:r>
        <w:t xml:space="preserve"> </w:t>
      </w:r>
      <w:r>
        <w:t xml:space="preserve">This allows us to quantify our uncertainty regarding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by summaryzing</w:t>
      </w:r>
      <w:r>
        <w:t xml:space="preserve"> </w:t>
      </w:r>
      <w:r>
        <w:t xml:space="preserve">the distribution of those values.</w:t>
      </w:r>
      <w:r>
        <w:t xml:space="preserve"> </w:t>
      </w:r>
      <w:r>
        <w:t xml:space="preserve">We will use 3 statistics to describe the posterior distribution: (1) the mean,</w:t>
      </w:r>
      <w:r>
        <w:t xml:space="preserve"> </w:t>
      </w:r>
      <w:r>
        <w:t xml:space="preserve">(2) a credible interval, and (3) the posterior probability that the effect is</w:t>
      </w:r>
      <w:r>
        <w:t xml:space="preserve"> </w:t>
      </w:r>
      <w:r>
        <w:t xml:space="preserve">greater than 0.</w:t>
      </w:r>
      <w:r>
        <w:t xml:space="preserve"> </w:t>
      </w:r>
      <w:r>
        <w:t xml:space="preserve">The mean provides a point estimate for the distribution, the 95% credible</w:t>
      </w:r>
      <w:r>
        <w:t xml:space="preserve"> </w:t>
      </w:r>
      <w:r>
        <w:t xml:space="preserve">interval provides bounds for the effect, and the posterior probability that</w:t>
      </w:r>
      <w:r>
        <w:t xml:space="preserve"> </w:t>
      </w:r>
      <w:r>
        <w:t xml:space="preserve">the effect is greater than zero further quantifies our uncertainty.</w:t>
      </w:r>
      <w:r>
        <w:t xml:space="preserve"> </w:t>
      </w:r>
      <w:r>
        <w:t xml:space="preserve">For example, if a hypothesis states that</w:t>
      </w:r>
      <w:r>
        <w:t xml:space="preserve"> </w:t>
      </w:r>
      <m:oMath>
        <m:r>
          <m:t>β</m:t>
        </m:r>
        <m:r>
          <m:t>&gt;</m:t>
        </m:r>
        <m:r>
          <m:t>0</m:t>
        </m:r>
      </m:oMath>
      <w:r>
        <w:t xml:space="preserve">, we judge there to be</w:t>
      </w:r>
      <w:r>
        <w:t xml:space="preserve"> </w:t>
      </w:r>
      <w:r>
        <w:rPr>
          <w:i/>
        </w:rPr>
        <w:t xml:space="preserve">compelling evidence</w:t>
      </w:r>
      <w:r>
        <w:t xml:space="preserve"> </w:t>
      </w:r>
      <w:r>
        <w:t xml:space="preserve">for this hypothesis if the mean point estimate is</w:t>
      </w:r>
      <w:r>
        <w:t xml:space="preserve"> </w:t>
      </w:r>
      <w:r>
        <w:t xml:space="preserve">a positive number, is (by a reasonably clear margin) not included in the 95%</w:t>
      </w:r>
      <w:r>
        <w:t xml:space="preserve"> </w:t>
      </w:r>
      <w:r>
        <w:t xml:space="preserve">credible interval of</w:t>
      </w:r>
      <w:r>
        <w:t xml:space="preserve"> </w:t>
      </w:r>
      <m:oMath>
        <m:r>
          <m:t>β</m:t>
        </m:r>
      </m:oMath>
      <w:r>
        <w:t xml:space="preserve">, and the posterior</w:t>
      </w:r>
      <w:r>
        <w:t xml:space="preserve"> </w:t>
      </w:r>
      <m:oMath>
        <m:r>
          <m:t>P</m:t>
        </m:r>
        <m:r>
          <m:t>(</m:t>
        </m:r>
        <m:r>
          <m:t>β</m:t>
        </m:r>
        <m:r>
          <m:t>&gt;</m:t>
        </m:r>
        <m:r>
          <m:t>0</m:t>
        </m:r>
        <m:r>
          <m:t>)</m:t>
        </m:r>
      </m:oMath>
      <w:r>
        <w:t xml:space="preserve"> </w:t>
      </w:r>
      <w:r>
        <w:t xml:space="preserve">is close to</w:t>
      </w:r>
      <w:r>
        <w:t xml:space="preserve"> </w:t>
      </w:r>
      <w:r>
        <w:t xml:space="preserve">one.</w:t>
      </w:r>
    </w:p>
    <w:p>
      <w:pPr>
        <w:pStyle w:val="Textkrper"/>
      </w:pPr>
      <w:r>
        <w:t xml:space="preserve">These three statistics provide an intuitive interpretation of any given</w:t>
      </w:r>
      <w:r>
        <w:t xml:space="preserve"> </w:t>
      </w:r>
      <w:r>
        <w:t xml:space="preserve">effect.</w:t>
      </w:r>
      <w:r>
        <w:t xml:space="preserve"> </w:t>
      </w:r>
      <w:r>
        <w:t xml:space="preserve">For instance, consider a case in which the posterior mean of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100</w:t>
      </w:r>
      <w:r>
        <w:t xml:space="preserve"> </w:t>
      </w:r>
      <w:r>
        <w:t xml:space="preserve">and the 95% credible interval is [40, 160].</w:t>
      </w:r>
      <w:r>
        <w:t xml:space="preserve"> </w:t>
      </w:r>
      <w:r>
        <w:t xml:space="preserve">The interval tells us that we can be 95% certain the</w:t>
      </w:r>
      <w:r>
        <w:t xml:space="preserve"> </w:t>
      </w:r>
      <w:r>
        <w:rPr>
          <w:i/>
        </w:rPr>
        <w:t xml:space="preserve">true</w:t>
      </w:r>
      <w:r>
        <w:t xml:space="preserve"> </w:t>
      </w:r>
      <w:r>
        <w:t xml:space="preserve">value of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between 40 and 160, given the data, our model, and our prior information.</w:t>
      </w:r>
      <w:r>
        <w:t xml:space="preserve"> </w:t>
      </w:r>
      <w:r>
        <w:t xml:space="preserve">Furthermore, the interval allows us to specify areas of uncertainty.</w:t>
      </w:r>
      <w:r>
        <w:t xml:space="preserve"> </w:t>
      </w:r>
      <w:r>
        <w:t xml:space="preserve">In this example, we can conclude that the effect is almost certain to be</w:t>
      </w:r>
      <w:r>
        <w:t xml:space="preserve"> </w:t>
      </w:r>
      <w:r>
        <w:t xml:space="preserve">positive.</w:t>
      </w:r>
      <w:r>
        <w:t xml:space="preserve"> </w:t>
      </w:r>
      <w:r>
        <w:t xml:space="preserve">The lower interval value of 40 tells us that 95% of the plausible values are</w:t>
      </w:r>
      <w:r>
        <w:t xml:space="preserve"> </w:t>
      </w:r>
      <w:r>
        <w:t xml:space="preserve">greater than 40.</w:t>
      </w:r>
      <w:r>
        <w:t xml:space="preserve"> </w:t>
      </w:r>
      <w:r>
        <w:t xml:space="preserve">We also note that the interval covers a wide range of values, thus we also</w:t>
      </w:r>
      <w:r>
        <w:t xml:space="preserve"> </w:t>
      </w:r>
      <w:r>
        <w:t xml:space="preserve">conclude that we are not very certain about the size of the effect.</w:t>
      </w:r>
      <w:r>
        <w:t xml:space="preserve"> </w:t>
      </w:r>
      <w:r>
        <w:t xml:space="preserve">This type of interepretation is not possible under a frequentist paradigm.</w:t>
      </w:r>
    </w:p>
    <w:p>
      <w:pPr>
        <w:pStyle w:val="berschrift2"/>
      </w:pPr>
      <w:bookmarkStart w:id="24" w:name="about-the-data"/>
      <w:r>
        <w:t xml:space="preserve">About the data</w:t>
      </w:r>
      <w:bookmarkEnd w:id="24"/>
    </w:p>
    <w:p>
      <w:pPr>
        <w:pStyle w:val="berschrift3"/>
      </w:pPr>
      <w:bookmarkStart w:id="25" w:name="metrics"/>
      <w:r>
        <w:t xml:space="preserve">Metrics</w:t>
      </w:r>
      <w:bookmarkEnd w:id="25"/>
    </w:p>
    <w:p>
      <w:pPr>
        <w:pStyle w:val="berschrift3"/>
      </w:pPr>
      <w:bookmarkStart w:id="26" w:name="participants"/>
      <w:r>
        <w:t xml:space="preserve">Participants</w:t>
      </w:r>
      <w:bookmarkEnd w:id="26"/>
    </w:p>
    <w:p>
      <w:pPr>
        <w:pStyle w:val="FirstParagraph"/>
      </w:pPr>
      <w:r>
        <w:t xml:space="preserve">The data include 3 populations: monolingual English speakers, monolingual</w:t>
      </w:r>
      <w:r>
        <w:t xml:space="preserve"> </w:t>
      </w:r>
      <w:r>
        <w:t xml:space="preserve">Spanish speakers, Bilingual English-Spanish speakers.</w:t>
      </w:r>
    </w:p>
    <w:p>
      <w:pPr>
        <w:pStyle w:val="berschrift4"/>
      </w:pPr>
      <w:bookmarkStart w:id="27" w:name="monolingual-english-speakers"/>
      <w:r>
        <w:t xml:space="preserve">Monolingual English speakers</w:t>
      </w:r>
      <w:bookmarkEnd w:id="27"/>
    </w:p>
    <w:p>
      <w:pPr>
        <w:pStyle w:val="FirstParagraph"/>
      </w:pPr>
      <w:r>
        <w:t xml:space="preserve">The monolingual English speakers are from the U.S. Southwest.</w:t>
      </w:r>
      <w:r>
        <w:t xml:space="preserve"> </w:t>
      </w:r>
      <w:r>
        <w:t xml:space="preserve">Age and other info here.</w:t>
      </w:r>
    </w:p>
    <w:p>
      <w:pPr>
        <w:pStyle w:val="berschrift4"/>
      </w:pPr>
      <w:bookmarkStart w:id="28" w:name="monolingual-spanish-speakers"/>
      <w:r>
        <w:t xml:space="preserve">Monolingual Spanish speakers</w:t>
      </w:r>
      <w:bookmarkEnd w:id="28"/>
    </w:p>
    <w:p>
      <w:pPr>
        <w:pStyle w:val="FirstParagraph"/>
      </w:pPr>
      <w:r>
        <w:t xml:space="preserve">The monolingual Spanish speakers com from Majorca, Spain.</w:t>
      </w:r>
      <w:r>
        <w:t xml:space="preserve"> </w:t>
      </w:r>
      <w:r>
        <w:t xml:space="preserve">They are actual bilingual.</w:t>
      </w:r>
      <w:r>
        <w:t xml:space="preserve"> </w:t>
      </w:r>
      <w:r>
        <w:t xml:space="preserve">There are N of them.</w:t>
      </w:r>
      <w:r>
        <w:t xml:space="preserve"> </w:t>
      </w:r>
      <w:r>
        <w:t xml:space="preserve">Age and other info here.</w:t>
      </w:r>
    </w:p>
    <w:p>
      <w:pPr>
        <w:pStyle w:val="berschrift4"/>
      </w:pPr>
      <w:bookmarkStart w:id="29" w:name="bilingual-speakers"/>
      <w:r>
        <w:t xml:space="preserve">Bilingual speakers</w:t>
      </w:r>
      <w:bookmarkEnd w:id="29"/>
    </w:p>
    <w:p>
      <w:pPr>
        <w:pStyle w:val="FirstParagraph"/>
      </w:pPr>
      <w:r>
        <w:t xml:space="preserve">The English-Spanish bilinguals are from Southern Arizona, Northern Mexico.</w:t>
      </w:r>
      <w:r>
        <w:t xml:space="preserve"> </w:t>
      </w:r>
      <w:r>
        <w:t xml:space="preserve">Age, BLP and other info.</w:t>
      </w:r>
      <w:r>
        <w:t xml:space="preserve"> </w:t>
      </w:r>
      <w:r>
        <w:t xml:space="preserve">Note there are two samples from this population.</w:t>
      </w:r>
    </w:p>
    <w:p>
      <w:pPr>
        <w:pStyle w:val="berschrift2"/>
      </w:pPr>
      <w:bookmarkStart w:id="30" w:name="about-this-document"/>
      <w:r>
        <w:t xml:space="preserve">About this document</w:t>
      </w:r>
      <w:bookmarkEnd w:id="30"/>
    </w:p>
    <w:p>
      <w:pPr>
        <w:pStyle w:val="FirstParagraph"/>
      </w:pPr>
      <w:r>
        <w:t xml:space="preserve">This document was written in RMarkdown using</w:t>
      </w:r>
      <w:r>
        <w:t xml:space="preserve"> </w:t>
      </w:r>
      <w:r>
        <w:rPr>
          <w:rStyle w:val="VerbatimChar"/>
        </w:rPr>
        <w:t xml:space="preserve">papaja</w:t>
      </w:r>
      <w:r>
        <w:t xml:space="preserve"> </w:t>
      </w:r>
      <w:r>
        <w:t xml:space="preserve">and serves as a project</w:t>
      </w:r>
      <w:r>
        <w:t xml:space="preserve"> </w:t>
      </w:r>
      <w:r>
        <w:t xml:space="preserve">report for our research group.</w:t>
      </w:r>
      <w:r>
        <w:t xml:space="preserve"> </w:t>
      </w:r>
      <w:r>
        <w:t xml:space="preserve">From this point foward, the document is written as if it were the results</w:t>
      </w:r>
      <w:r>
        <w:t xml:space="preserve"> </w:t>
      </w:r>
      <w:r>
        <w:t xml:space="preserve">section of a future manuscript.</w:t>
      </w:r>
      <w:r>
        <w:t xml:space="preserve"> </w:t>
      </w:r>
      <w:r>
        <w:t xml:space="preserve">This implies that it is written in a way that allows it to be copy and pasted</w:t>
      </w:r>
      <w:r>
        <w:t xml:space="preserve"> </w:t>
      </w:r>
      <w:r>
        <w:t xml:space="preserve">into the actual manuscript once it is available.</w:t>
      </w:r>
    </w:p>
    <w:p>
      <w:pPr>
        <w:pStyle w:val="berschrift1"/>
      </w:pPr>
      <w:bookmarkStart w:id="31" w:name="results"/>
      <w:r>
        <w:t xml:space="preserve">Results</w:t>
      </w:r>
      <w:bookmarkEnd w:id="31"/>
    </w:p>
    <w:p>
      <w:pPr>
        <w:pStyle w:val="berschrift2"/>
      </w:pPr>
      <w:bookmarkStart w:id="32" w:name="experiment-1-monolinguals"/>
      <w:r>
        <w:t xml:space="preserve">Experiment 1: Monolinguals</w:t>
      </w:r>
      <w:bookmarkEnd w:id="32"/>
    </w:p>
    <w:p>
      <w:pPr>
        <w:pStyle w:val="CaptionedFigure"/>
      </w:pPr>
      <w:r>
        <w:drawing>
          <wp:inline>
            <wp:extent cx="5969000" cy="3361810"/>
            <wp:effectExtent b="0" l="0" r="0" t="0"/>
            <wp:docPr descr="Figure 1: VOT and burst metrics of coronal stops (/d/, /t/) from monolingual speakers as a function of language (English, Spanish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mono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61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VOT and burst metrics of coronal stops (/d/, /t/) from monolingual speakers as a function of language (English, Spanish), and lexical stress (Stressed, Unstressed). Transparent points represent raw data. Solid points indicate posterior means ± 95% and 80% credible intervals.</w:t>
      </w:r>
    </w:p>
    <w:p>
      <w:pPr>
        <w:pStyle w:val="berschrift2"/>
      </w:pPr>
      <w:bookmarkStart w:id="34" w:name="experiment-2-bilinguals"/>
      <w:r>
        <w:t xml:space="preserve">Experiment 2: Bilinguals</w:t>
      </w:r>
      <w:bookmarkEnd w:id="34"/>
    </w:p>
    <w:p>
      <w:pPr>
        <w:pStyle w:val="CaptionedFigure"/>
      </w:pPr>
      <w:r>
        <w:drawing>
          <wp:inline>
            <wp:extent cx="5969000" cy="3361810"/>
            <wp:effectExtent b="0" l="0" r="0" t="0"/>
            <wp:docPr descr="Figure 2: VOT and burst metrics of coronal stops (/d/, /t/) from bilingual speakers as a function of language (English, Spanish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bi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61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VOT and burst metrics of coronal stops (/d/, /t/) from bilingual speakers as a function of language (English, Spanish), and lexical stress (Stressed, Unstressed). Transparent points represent raw data. Solid points indicate posterior means ± 95% and 80% credible intervals.</w:t>
      </w:r>
    </w:p>
    <w:p>
      <w:pPr>
        <w:pStyle w:val="berschrift2"/>
      </w:pPr>
      <w:bookmarkStart w:id="36" w:name="experiment-3-bilingual-poa-data"/>
      <w:r>
        <w:t xml:space="preserve">Experiment 3: Bilingual POA data</w:t>
      </w:r>
      <w:bookmarkEnd w:id="36"/>
    </w:p>
    <w:p>
      <w:pPr>
        <w:pStyle w:val="CaptionedFigure"/>
      </w:pPr>
      <w:r>
        <w:drawing>
          <wp:inline>
            <wp:extent cx="5969000" cy="3248011"/>
            <wp:effectExtent b="0" l="0" r="0" t="0"/>
            <wp:docPr descr="Figure 3: VOT and burst metrics of voiceless stops from bilingual speakers as a function of language (English, Spanish), place of articulation (Coronal, Bilabial), and lexical stress (Stressed, Unstressed). Transparent points represent raw data. Solid points indicate posterior means ± 95% and 80% credible intervals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spanish_english_coronals/figs/poa_all_metr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4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VOT and burst metrics of voiceless stops from bilingual speakers as a function of language (English, Spanish), place of articulation (Coronal, Bilabial), and lexical stress (Stressed, Unstressed). Transparent points represent raw data. Solid points indicate posterior means ± 95% and 80% credible intervals.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hyperlink" Id="rId21" Target="mailto:my@e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2019-08-23T19:16:52Z</dcterms:created>
  <dcterms:modified xsi:type="dcterms:W3CDTF">2019-08-23T19:16:52Z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no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