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Postal address. E-mail:</w:t>
      </w:r>
      <w:r>
        <w:t xml:space="preserve"> </w:t>
      </w:r>
      <w:hyperlink r:id="rId21">
        <w:r>
          <w:rPr>
            <w:rStyle w:val="Hyperlink"/>
          </w:rPr>
          <w:t xml:space="preserve">my@email.com</w:t>
        </w:r>
      </w:hyperlink>
    </w:p>
    <w:p>
      <w:pPr>
        <w:pStyle w:val="berschrift1"/>
      </w:pPr>
      <w:bookmarkStart w:id="22" w:name="overview"/>
      <w:r>
        <w:t xml:space="preserve">Overview</w:t>
      </w:r>
      <w:bookmarkEnd w:id="22"/>
    </w:p>
    <w:p>
      <w:pPr>
        <w:pStyle w:val="berschrift2"/>
      </w:pPr>
      <w:bookmarkStart w:id="23" w:name="bayesian-data-analysis"/>
      <w:r>
        <w:t xml:space="preserve">Bayesian data analysis</w:t>
      </w:r>
      <w:bookmarkEnd w:id="23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</w:t>
      </w:r>
      <w:r>
        <w:t xml:space="preserve"> </w:t>
      </w:r>
      <m:oMath>
        <m:r>
          <m:t>β</m:t>
        </m:r>
      </m:oMath>
      <w:r>
        <w:t xml:space="preserve">, but rather we draw a sample of 4,000</w:t>
      </w:r>
      <w:r>
        <w:t xml:space="preserve"> </w:t>
      </w:r>
      <w:r>
        <w:t xml:space="preserve">plausible values for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This allows us to quantify our uncertainty regarding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3 statistics to describe the posterior distribution: (1) the mean,</w:t>
      </w:r>
      <w:r>
        <w:t xml:space="preserve"> </w:t>
      </w:r>
      <w:r>
        <w:t xml:space="preserve">(2) a credible interval, and (3) the posterior probability that the effect is</w:t>
      </w:r>
      <w:r>
        <w:t xml:space="preserve"> </w:t>
      </w:r>
      <w:r>
        <w:t xml:space="preserve">greater than 0.</w:t>
      </w:r>
      <w:r>
        <w:t xml:space="preserve"> </w:t>
      </w:r>
      <w:r>
        <w:t xml:space="preserve">The mean provides a point estimate for the distribution, the 95% credible</w:t>
      </w:r>
      <w:r>
        <w:t xml:space="preserve"> </w:t>
      </w:r>
      <w:r>
        <w:t xml:space="preserve">interval provides bounds for the effect, and the posterior probability that</w:t>
      </w:r>
      <w:r>
        <w:t xml:space="preserve"> </w:t>
      </w:r>
      <w:r>
        <w:t xml:space="preserve">the effect is greater than zero further quantifies our uncertainty.</w:t>
      </w:r>
      <w:r>
        <w:t xml:space="preserve"> </w:t>
      </w:r>
      <w:r>
        <w:t xml:space="preserve">For example, if a hypothesis states that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is (by a reasonably clear margin) not included in the 95%</w:t>
      </w:r>
      <w:r>
        <w:t xml:space="preserve"> </w:t>
      </w:r>
      <w:r>
        <w:t xml:space="preserve">credible interval of</w:t>
      </w:r>
      <w:r>
        <w:t xml:space="preserve"> </w:t>
      </w:r>
      <m:oMath>
        <m:r>
          <m:t>β</m:t>
        </m:r>
      </m:oMath>
      <w:r>
        <w:t xml:space="preserve">, and the posterior</w:t>
      </w:r>
      <w:r>
        <w:t xml:space="preserve"> </w:t>
      </w:r>
      <m:oMath>
        <m:r>
          <m:t>P</m:t>
        </m:r>
        <m:r>
          <m:t>(</m:t>
        </m:r>
        <m:r>
          <m:t>β</m:t>
        </m:r>
        <m:r>
          <m:t>&gt;</m:t>
        </m:r>
        <m:r>
          <m:t>0</m:t>
        </m:r>
        <m:r>
          <m:t>)</m:t>
        </m:r>
      </m:oMath>
      <w:r>
        <w:t xml:space="preserve"> </w:t>
      </w:r>
      <w:r>
        <w:t xml:space="preserve">is close to</w:t>
      </w:r>
      <w:r>
        <w:t xml:space="preserve"> </w:t>
      </w:r>
      <w:r>
        <w:t xml:space="preserve">one.</w:t>
      </w:r>
    </w:p>
    <w:p>
      <w:pPr>
        <w:pStyle w:val="Textkrper"/>
      </w:pPr>
      <w:r>
        <w:t xml:space="preserve">These three statistics provide an intuitive interpretation of any given</w:t>
      </w:r>
      <w:r>
        <w:t xml:space="preserve"> </w:t>
      </w:r>
      <w:r>
        <w:t xml:space="preserve">effect.</w:t>
      </w:r>
      <w:r>
        <w:t xml:space="preserve"> </w:t>
      </w:r>
      <w:r>
        <w:t xml:space="preserve">For instance, consider a case in which the posterior mean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berschrift2"/>
      </w:pPr>
      <w:bookmarkStart w:id="24" w:name="about-the-data"/>
      <w:r>
        <w:t xml:space="preserve">About the data</w:t>
      </w:r>
      <w:bookmarkEnd w:id="24"/>
    </w:p>
    <w:p>
      <w:pPr>
        <w:pStyle w:val="berschrift3"/>
      </w:pPr>
      <w:bookmarkStart w:id="25" w:name="metrics"/>
      <w:r>
        <w:t xml:space="preserve">Metrics</w:t>
      </w:r>
      <w:bookmarkEnd w:id="25"/>
    </w:p>
    <w:p>
      <w:pPr>
        <w:pStyle w:val="berschrift3"/>
      </w:pPr>
      <w:bookmarkStart w:id="26" w:name="participants"/>
      <w:r>
        <w:t xml:space="preserve">Participants</w:t>
      </w:r>
      <w:bookmarkEnd w:id="26"/>
    </w:p>
    <w:p>
      <w:pPr>
        <w:pStyle w:val="FirstParagraph"/>
      </w:pPr>
      <w:r>
        <w:t xml:space="preserve">The data include 3 populations: monolingual English speakers, monolingual</w:t>
      </w:r>
      <w:r>
        <w:t xml:space="preserve"> </w:t>
      </w:r>
      <w:r>
        <w:t xml:space="preserve">Spanish speakers, Bilingual English-Spanish speakers.</w:t>
      </w:r>
    </w:p>
    <w:p>
      <w:pPr>
        <w:pStyle w:val="berschrift4"/>
      </w:pPr>
      <w:bookmarkStart w:id="27" w:name="monolingual-english-speakers"/>
      <w:r>
        <w:t xml:space="preserve">Monolingual English speakers</w:t>
      </w:r>
      <w:bookmarkEnd w:id="27"/>
    </w:p>
    <w:p>
      <w:pPr>
        <w:pStyle w:val="FirstParagraph"/>
      </w:pPr>
      <w:r>
        <w:t xml:space="preserve">The monolingual English speakers are from the U.S. Southwest.</w:t>
      </w:r>
      <w:r>
        <w:t xml:space="preserve"> </w:t>
      </w:r>
      <w:r>
        <w:t xml:space="preserve">Age and other info here.</w:t>
      </w:r>
    </w:p>
    <w:p>
      <w:pPr>
        <w:pStyle w:val="berschrift4"/>
      </w:pPr>
      <w:bookmarkStart w:id="28" w:name="monolingual-spanish-speakers"/>
      <w:r>
        <w:t xml:space="preserve">Monolingual Spanish speakers</w:t>
      </w:r>
      <w:bookmarkEnd w:id="28"/>
    </w:p>
    <w:p>
      <w:pPr>
        <w:pStyle w:val="FirstParagraph"/>
      </w:pPr>
      <w:r>
        <w:t xml:space="preserve">The monolingual Spanish speakers com from Majorca, Spain.</w:t>
      </w:r>
      <w:r>
        <w:t xml:space="preserve"> </w:t>
      </w:r>
      <w:r>
        <w:t xml:space="preserve">They are actual bilingual.</w:t>
      </w:r>
      <w:r>
        <w:t xml:space="preserve"> </w:t>
      </w:r>
      <w:r>
        <w:t xml:space="preserve">There are N of them.</w:t>
      </w:r>
      <w:r>
        <w:t xml:space="preserve"> </w:t>
      </w:r>
      <w:r>
        <w:t xml:space="preserve">Age and other info here.</w:t>
      </w:r>
    </w:p>
    <w:p>
      <w:pPr>
        <w:pStyle w:val="berschrift4"/>
      </w:pPr>
      <w:bookmarkStart w:id="29" w:name="bilingual-speakers"/>
      <w:r>
        <w:t xml:space="preserve">Bilingual speakers</w:t>
      </w:r>
      <w:bookmarkEnd w:id="29"/>
    </w:p>
    <w:p>
      <w:pPr>
        <w:pStyle w:val="FirstParagraph"/>
      </w:pPr>
      <w:r>
        <w:t xml:space="preserve">The English-Spanish bilinguals are from Southern Arizona, Northern Mexico.</w:t>
      </w:r>
      <w:r>
        <w:t xml:space="preserve"> </w:t>
      </w:r>
      <w:r>
        <w:t xml:space="preserve">Age, BLP and other info.</w:t>
      </w:r>
      <w:r>
        <w:t xml:space="preserve"> </w:t>
      </w:r>
      <w:r>
        <w:t xml:space="preserve">Note there are two samples from this population.</w:t>
      </w:r>
    </w:p>
    <w:p>
      <w:pPr>
        <w:pStyle w:val="berschrift2"/>
      </w:pPr>
      <w:bookmarkStart w:id="30" w:name="about-this-document"/>
      <w:r>
        <w:t xml:space="preserve">About this document</w:t>
      </w:r>
      <w:bookmarkEnd w:id="30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serves as a project</w:t>
      </w:r>
      <w:r>
        <w:t xml:space="preserve"> </w:t>
      </w:r>
      <w:r>
        <w:t xml:space="preserve">report for our research group.</w:t>
      </w:r>
      <w:r>
        <w:t xml:space="preserve"> </w:t>
      </w:r>
      <w:r>
        <w:t xml:space="preserve">From this point foward, the document is written as if it were the results</w:t>
      </w:r>
      <w:r>
        <w:t xml:space="preserve"> </w:t>
      </w:r>
      <w:r>
        <w:t xml:space="preserve">section of a future 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p>
      <w:pPr>
        <w:pStyle w:val="berschrift1"/>
      </w:pPr>
      <w:bookmarkStart w:id="31" w:name="results"/>
      <w:r>
        <w:t xml:space="preserve">Results</w:t>
      </w:r>
      <w:bookmarkEnd w:id="31"/>
    </w:p>
    <w:p>
      <w:pPr>
        <w:pStyle w:val="berschrift2"/>
      </w:pPr>
      <w:bookmarkStart w:id="32" w:name="experiment-1-monolinguals"/>
      <w:r>
        <w:t xml:space="preserve">Experiment 1: Monolinguals</w:t>
      </w:r>
      <w:bookmarkEnd w:id="32"/>
    </w:p>
    <w:p>
      <w:pPr>
        <w:pStyle w:val="berschrift2"/>
      </w:pPr>
      <w:bookmarkStart w:id="33" w:name="experiment-2-bilinguals"/>
      <w:r>
        <w:t xml:space="preserve">Experiment 2: Bilinguals</w:t>
      </w:r>
      <w:bookmarkEnd w:id="33"/>
    </w:p>
    <w:p>
      <w:pPr>
        <w:pStyle w:val="berschrift2"/>
      </w:pPr>
      <w:bookmarkStart w:id="34" w:name="experiment-3-bilingual-poa-data"/>
      <w:r>
        <w:t xml:space="preserve">Experiment 3: Bilingual POA data</w:t>
      </w:r>
      <w:bookmarkEnd w:id="3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68"/>
        <w:gridCol w:w="3168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2.5%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97.5%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Lexical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repetition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Group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Group x Lexical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 x Lexical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Group x Phoneme x Lexical stress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0.05</w:t>
            </w:r>
          </w:p>
        </w:tc>
      </w:tr>
    </w:tbl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2019-08-22T15:09:19Z</dcterms:created>
  <dcterms:modified xsi:type="dcterms:W3CDTF">2019-08-22T15:09:19Z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r-references.bib</vt:lpwstr>
  </property>
  <property fmtid="{D5CDD505-2E9C-101B-9397-08002B2CF9AE}" pid="4" name="classoption">
    <vt:lpwstr>man</vt:lpwstr>
  </property>
  <property fmtid="{D5CDD505-2E9C-101B-9397-08002B2CF9AE}" pid="5" name="csl">
    <vt:lpwstr>/Library/Frameworks/R.framework/Versions/3.6/Resources/library/papaja/rmd/apa6.csl</vt:lpwstr>
  </property>
  <property fmtid="{D5CDD505-2E9C-101B-9397-08002B2CF9AE}" pid="6" name="documentclass">
    <vt:lpwstr>apa6</vt:lpwstr>
  </property>
  <property fmtid="{D5CDD505-2E9C-101B-9397-08002B2CF9AE}" pid="7" name="draft">
    <vt:lpwstr>yes</vt:lpwstr>
  </property>
  <property fmtid="{D5CDD505-2E9C-101B-9397-08002B2CF9AE}" pid="8" name="figurelist">
    <vt:lpwstr>yes</vt:lpwstr>
  </property>
  <property fmtid="{D5CDD505-2E9C-101B-9397-08002B2CF9AE}" pid="9" name="floatsintext">
    <vt:lpwstr>yes</vt:lpwstr>
  </property>
  <property fmtid="{D5CDD505-2E9C-101B-9397-08002B2CF9AE}" pid="10" name="footnotelist">
    <vt:lpwstr>yes</vt:lpwstr>
  </property>
  <property fmtid="{D5CDD505-2E9C-101B-9397-08002B2CF9AE}" pid="11" name="linenumbers">
    <vt:lpwstr>yes</vt:lpwstr>
  </property>
  <property fmtid="{D5CDD505-2E9C-101B-9397-08002B2CF9AE}" pid="12" name="mask">
    <vt:lpwstr>no</vt:lpwstr>
  </property>
  <property fmtid="{D5CDD505-2E9C-101B-9397-08002B2CF9AE}" pid="13" name="output">
    <vt:lpwstr>papaja::apa6_word</vt:lpwstr>
  </property>
  <property fmtid="{D5CDD505-2E9C-101B-9397-08002B2CF9AE}" pid="14" name="tablelist">
    <vt:lpwstr>yes</vt:lpwstr>
  </property>
  <property fmtid="{D5CDD505-2E9C-101B-9397-08002B2CF9AE}" pid="15" name="wordcount">
    <vt:lpwstr/>
  </property>
</Properties>
</file>