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fa579968dd1b0ffafb96dff1435c2209a79521"/>
    <w:p>
      <w:pPr>
        <w:pStyle w:val="Heading1"/>
      </w:pPr>
      <w:r>
        <w:t xml:space="preserve">CVS Data Architecture Approach: Workstreams A, B1/B2, C</w:t>
      </w:r>
    </w:p>
    <w:p>
      <w:pPr>
        <w:pStyle w:val="FirstParagraph"/>
      </w:pPr>
      <w:r>
        <w:rPr>
          <w:bCs/>
          <w:b/>
        </w:rPr>
        <w:t xml:space="preserve">Lens:</w:t>
      </w:r>
      <w:r>
        <w:t xml:space="preserve"> </w:t>
      </w:r>
      <w:r>
        <w:t xml:space="preserve">data architecture, organized by the four Data Foundation areas in the Databricks Architecture Primer (Data Architecture, Data Ingestion and Processing, Storage Architecture, Medallion Architecture).</w:t>
      </w:r>
      <w:r>
        <w:t xml:space="preserve"> </w:t>
      </w:r>
      <w:r>
        <w:rPr>
          <w:bCs/>
          <w:b/>
        </w:rPr>
        <w:t xml:space="preserve">Built from:</w:t>
      </w:r>
      <w:r>
        <w:t xml:space="preserve"> </w:t>
      </w:r>
      <w:r>
        <w:t xml:space="preserve">every file in the</w:t>
      </w:r>
      <w:r>
        <w:t xml:space="preserve"> </w:t>
      </w:r>
      <w:r>
        <w:rPr>
          <w:rStyle w:val="VerbatimChar"/>
        </w:rPr>
        <w:t xml:space="preserve">CVS</w:t>
      </w:r>
      <w:r>
        <w:t xml:space="preserve"> </w:t>
      </w:r>
      <w:r>
        <w:t xml:space="preserve">folder (see Section 8). Where files disagree, Section 6 lists the conflict and a recommended ruling.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working draft for SME review. Not client-ready until the Section 6 decisions are taken.</w:t>
      </w:r>
    </w:p>
    <w:p>
      <w:r>
        <w:pict>
          <v:rect style="width:0;height:1.5pt" o:hralign="center" o:hrstd="t" o:hr="t"/>
        </w:pict>
      </w:r>
    </w:p>
    <w:bookmarkStart w:id="20" w:name="the-integrated-approach-in-one-view"/>
    <w:p>
      <w:pPr>
        <w:pStyle w:val="Heading2"/>
      </w:pPr>
      <w:r>
        <w:t xml:space="preserve">1. The integrated approach in one view</w:t>
      </w:r>
    </w:p>
    <w:p>
      <w:pPr>
        <w:pStyle w:val="FirstParagraph"/>
      </w:pPr>
      <w:r>
        <w:t xml:space="preserve">The four workstreams are one data-architecture chain. A proves and fixes the pattern, B1 decides which data is governed and how, B2 lands it in Bronze, C turns it into Silver and Gold products.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passes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to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→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metadata standard, ODCS template, Unity Catalog namespace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taxonomy decision (Section 6, 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→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Auto Loader + Event Grid pattern, ADLS folder hierarchy, throughput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Landing-zone and network clearance; A2 pilot performance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→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as reference pattern: DLT code, Silver schema, RBAC and masking pattern, FinOps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accepted by CVS 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 →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contract per source family: routing rule, Bronze table, partition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registered in Unity Catalog before the source activates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 →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Schema, classification, SLA, masking rules, lineage, downstream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contract for the target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 →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Bronze tables, confirmed schemas and partition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Bronze tables carrying production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→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and Gold tables, including pre-aggregated tables for the 16 ES accelerated CIM data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Queryable Silver data (hard sequencing dependency per WS-D §7.3)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Framework area × workstream</w:t>
      </w:r>
      <w:r>
        <w:t xml:space="preserve"> </w:t>
      </w:r>
      <w:r>
        <w:t xml:space="preserve">(L = leads, C = contributes, I = consumes):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Architecture (modeling, semantics, products)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sets pattern and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contracts, taxonomy,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canonical model, conformed dimensions, data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Ingestion and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validates 1–3,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routing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WF1–WF6, Auto Loader, tiering,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DLT templates, hot/warm/cold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ADLS, encryption, DR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retention,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landing paths, file standards,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Medallion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pilot Bronze→Gold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contract = Bronze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 Silver and Gold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b3340cb77e2e9a65879720efcc9dabb7e4e76f"/>
    <w:p>
      <w:pPr>
        <w:pStyle w:val="Heading2"/>
      </w:pPr>
      <w:r>
        <w:t xml:space="preserve">2. Workstream A: Architecture Assessment, Pilot, Remediation (12 weeks)</w:t>
      </w:r>
    </w:p>
    <w:p>
      <w:pPr>
        <w:pStyle w:val="FirstParagraph"/>
      </w:pPr>
      <w:r>
        <w:rPr>
          <w:bCs/>
          <w:b/>
        </w:rPr>
        <w:t xml:space="preserve">Data-architecture objective:</w:t>
      </w:r>
      <w:r>
        <w:t xml:space="preserve"> </w:t>
      </w:r>
      <w:r>
        <w:t xml:space="preserve">prove the Bronze → Silver → Gold pattern on real data and set the decisions B and C build on, so neither workstream reworks.</w:t>
      </w:r>
    </w:p>
    <w:p>
      <w:pPr>
        <w:pStyle w:val="BodyText"/>
      </w:pPr>
      <w:r>
        <w:rPr>
          <w:bCs/>
          <w:b/>
        </w:rPr>
        <w:t xml:space="preserve">Gap to close first.</w:t>
      </w:r>
      <w:r>
        <w:t xml:space="preserve"> </w:t>
      </w:r>
      <w:r>
        <w:t xml:space="preserve">A’s seven assessment domains are platform-centric (Unity Catalog, security, encryption, DR, scalability, FinOps, CI/CD). Data modeling, Bronze design, landing-zone layout and ingestion patterns are only covered implicitly through the pilot.</w:t>
      </w:r>
      <w:r>
        <w:t xml:space="preserve"> </w:t>
      </w:r>
      <w:r>
        <w:rPr>
          <w:bCs/>
          <w:b/>
        </w:rPr>
        <w:t xml:space="preserve">Recommendation: add Domain 8,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 Architecture and Medallion Design</w:t>
      </w:r>
      <w:r>
        <w:rPr>
          <w:bCs/>
          <w:b/>
        </w:rPr>
        <w:t xml:space="preserve">”</w:t>
      </w:r>
      <w:r>
        <w:t xml:space="preserve"> </w:t>
      </w:r>
      <w:r>
        <w:t xml:space="preserve">(and a matching feature 1.x in the kickoff epic), scored with the same Green/Yellow/Red rubric: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Assessment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/ Yellow /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Bronze metadata envelope defined and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 DDL, schema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tables carry it / partial / ad-hoc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Source-family → Bronze-table consolidation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sheet, Bronze table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and ratified / draft / table per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Landing-zone and folder convention, quarantine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ADLS container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product/date with quarantine / convention without quarantine / ad hoc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Loader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config, checkpoint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notification, rescued-data column, quarantine / partly / directory listing with</w:t>
            </w:r>
            <w:r>
              <w:t xml:space="preserve"> </w:t>
            </w:r>
            <w:r>
              <w:rPr>
                <w:rStyle w:val="VerbatimChar"/>
              </w:rPr>
              <w:t xml:space="preserve">mergeSchema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Partitioning, clustering, 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details, file-size 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≥128 MB / 64–128 MB / &lt;64 MB (alert threshold in B2 §7.4)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boundary enforced (Restricted → 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tags, masking 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and tagged / defined, untested / undefined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contract enforcement and quality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DLT expectations, quarantine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from contract / manual /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by layer, WORM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rules, immutability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and tested / defined only /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Weeks 1–3, inventory.</w:t>
      </w:r>
      <w:r>
        <w:t xml:space="preserve"> </w:t>
      </w:r>
      <w:r>
        <w:t xml:space="preserve">Catalogs, schemas, tables, Auto Loader jobs, ADLS containers and lifecycle rules across the ~201 workspaces. Treat the departed architect’s artifacts as undocumented until proven. Coordinate with Lovelytics so security domains are not assessed twice.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Weeks 4–6, assess and score.</w:t>
      </w:r>
      <w:r>
        <w:t xml:space="preserve"> </w:t>
      </w:r>
      <w:r>
        <w:t xml:space="preserve">Run the eight-domain checklists. Test the PHI masking boundary with edge cases (schema evolution, late-arriving fields). Load-test Auto Loader at representative volume. Gap register v1 in Week 4, report in Week 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Weeks 7–10, pilot (K8s/CRM or network security).</w:t>
      </w:r>
      <w:r>
        <w:t xml:space="preserve"> </w:t>
      </w:r>
      <w:r>
        <w:t xml:space="preserve">Build the pilot as a reference: ODCS contract, Bronze table with envelope, parameterized DLT pipeline with masking and expectations, one enrichment join, Gold output, concurrency and latency tests.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Weeks 4–12, remediate and decide.</w:t>
      </w:r>
      <w:r>
        <w:t xml:space="preserve"> </w:t>
      </w:r>
      <w:r>
        <w:t xml:space="preserve">Must-fix items before the change freeze; take the Section 6 decisions; assemble the B–E handoff package.</w:t>
      </w:r>
    </w:p>
    <w:p>
      <w:pPr>
        <w:pStyle w:val="FirstParagraph"/>
      </w:pPr>
      <w:r>
        <w:rPr>
          <w:bCs/>
          <w:b/>
        </w:rPr>
        <w:t xml:space="preserve">Outputs:</w:t>
      </w:r>
      <w:r>
        <w:t xml:space="preserve"> </w:t>
      </w:r>
      <w:r>
        <w:t xml:space="preserve">assessment report with data-architecture domain, gap register, pilot evidence, remediation tracker, Day 1 / Day 2 architecture, handoff package. Dates in the kickoff deck: A.1 definition of done Dec 7, 2026; A.2 (90-day window) Jan 18, 2027.</w:t>
      </w:r>
    </w:p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B1, B2 and C can start from the handoff without rework, and the Section 6 decisions D1–D4 are closed.</w:t>
      </w:r>
    </w:p>
    <w:p>
      <w:r>
        <w:pict>
          <v:rect style="width:0;height:1.5pt" o:hralign="center" o:hrstd="t" o:hr="t"/>
        </w:pict>
      </w:r>
    </w:p>
    <w:bookmarkEnd w:id="21"/>
    <w:bookmarkStart w:id="22" w:name="X7b25dcbf48b06ed7e529e7bea55c2fa19763b6d"/>
    <w:p>
      <w:pPr>
        <w:pStyle w:val="Heading2"/>
      </w:pPr>
      <w:r>
        <w:t xml:space="preserve">3. Workstream B1: Data Contracts and Source Rationalization</w:t>
      </w:r>
    </w:p>
    <w:p>
      <w:pPr>
        <w:pStyle w:val="FirstParagraph"/>
      </w:pPr>
      <w:r>
        <w:rPr>
          <w:bCs/>
          <w:b/>
        </w:rPr>
        <w:t xml:space="preserve">Data-architecture objective:</w:t>
      </w:r>
      <w:r>
        <w:t xml:space="preserve"> </w:t>
      </w:r>
      <w:r>
        <w:t xml:space="preserve">turn 12,910 sourcetypes into ~250–300 governed source families whose contracts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Bronze and Silver specifications.</w:t>
      </w:r>
    </w:p>
    <w:p>
      <w:pPr>
        <w:pStyle w:val="BodyText"/>
      </w:pPr>
      <w:r>
        <w:rPr>
          <w:bCs/>
          <w:b/>
        </w:rPr>
        <w:t xml:space="preserve">Approach (four-step funnel, factory model)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 and group</w:t>
      </w:r>
      <w:r>
        <w:t xml:space="preserve"> </w:t>
      </w:r>
      <w:r>
        <w:t xml:space="preserve">(AI-assisted pattern recognition): 12,910 sourcetypes → ~250–300 families → 12 source-domain categories. Kubernetes (10,790 sourcetypes, 84%) collapses to ~40 families by promoting deployment, namespace, cluster and environment to columns.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Classify and tier:</w:t>
      </w:r>
      <w:r>
        <w:t xml:space="preserve"> </w:t>
      </w:r>
      <w:r>
        <w:t xml:space="preserve">Tier 1 = ~126 production-validated families (145.4 TB/day, ~98% of volume), contracted in Weeks 1–10; Tiers 2 and 3 follow by Week 20.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Disposition:</w:t>
      </w:r>
      <w:r>
        <w:t xml:space="preserve"> </w:t>
      </w:r>
      <w:r>
        <w:t xml:space="preserve">Retain &amp; Contract / Consolidate / Retire, informed by usage of dependent searches, dashboards and knowledge objects.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 and register:</w:t>
      </w:r>
      <w:r>
        <w:t xml:space="preserve"> </w:t>
      </w:r>
      <w:r>
        <w:t xml:space="preserve">AI pre-populates ODCS contracts; owner workshop; register in Unity Catalog.</w:t>
      </w:r>
    </w:p>
    <w:p>
      <w:pPr>
        <w:pStyle w:val="FirstParagraph"/>
      </w:pPr>
      <w:r>
        <w:rPr>
          <w:bCs/>
          <w:b/>
        </w:rPr>
        <w:t xml:space="preserve">Data-architecture checks the SME applies to every contract before release</w:t>
      </w:r>
    </w:p>
    <w:p>
      <w:pPr>
        <w:numPr>
          <w:ilvl w:val="0"/>
          <w:numId w:val="1003"/>
        </w:numPr>
        <w:pStyle w:val="Compact"/>
      </w:pPr>
      <w:r>
        <w:t xml:space="preserve">The contract names exactly one Bronze target table, partition keys and the canonical envelope columns (consistent with B2 §4.4).</w:t>
      </w:r>
    </w:p>
    <w:p>
      <w:pPr>
        <w:numPr>
          <w:ilvl w:val="0"/>
          <w:numId w:val="1003"/>
        </w:numPr>
        <w:pStyle w:val="Compact"/>
      </w:pPr>
      <w:r>
        <w:t xml:space="preserve">Family-specific extension columns follow the B2 patterns (Event Hub, Pub/Sub, network multi-vendor, K8s collapse).</w:t>
      </w:r>
    </w:p>
    <w:p>
      <w:pPr>
        <w:numPr>
          <w:ilvl w:val="0"/>
          <w:numId w:val="1003"/>
        </w:numPr>
        <w:pStyle w:val="Compact"/>
      </w:pPr>
      <w:r>
        <w:t xml:space="preserve">Classification is the highest across consuming platform domains (Core, ES, ITSI); masking layer is stated explicitly (see D1).</w:t>
      </w:r>
    </w:p>
    <w:p>
      <w:pPr>
        <w:numPr>
          <w:ilvl w:val="0"/>
          <w:numId w:val="1003"/>
        </w:numPr>
        <w:pStyle w:val="Compact"/>
      </w:pPr>
      <w:r>
        <w:t xml:space="preserve">Downstream Silver tables, Tier 1/2 normalization (OCSF vs governed native) and tier (hot/warm/cold) are declared so C does not re-derive them.</w:t>
      </w:r>
    </w:p>
    <w:p>
      <w:pPr>
        <w:numPr>
          <w:ilvl w:val="0"/>
          <w:numId w:val="1003"/>
        </w:numPr>
        <w:pStyle w:val="Compact"/>
      </w:pPr>
      <w:r>
        <w:t xml:space="preserve">Retention by layer (contract example: Bronze 13 months, Silver 13 months, 7-year WORM archive) matches storage lifecycle design.</w:t>
      </w:r>
    </w:p>
    <w:p>
      <w:pPr>
        <w:pStyle w:val="FirstParagraph"/>
      </w:pPr>
      <w:r>
        <w:rPr>
          <w:bCs/>
          <w:b/>
        </w:rPr>
        <w:t xml:space="preserve">Constraint to state openly:</w:t>
      </w:r>
      <w:r>
        <w:t xml:space="preserve"> </w:t>
      </w:r>
      <w:r>
        <w:t xml:space="preserve">KPMG authoring capacity (15–20 contracts per sprint) is not the bottleneck; CVS data-owner availability is. Ownership is concentrated (top 25 owners hold &gt;90% of data), so domain-grouped workshops are the lever.</w:t>
      </w:r>
    </w:p>
    <w:p>
      <w:pPr>
        <w:pStyle w:val="BodyText"/>
      </w:pPr>
      <w:r>
        <w:rPr>
          <w:bCs/>
          <w:b/>
        </w:rPr>
        <w:t xml:space="preserve">Outputs:</w:t>
      </w:r>
      <w:r>
        <w:t xml:space="preserve"> </w:t>
      </w:r>
      <w:r>
        <w:t xml:space="preserve">source inventory and taxonomy, contract template and standards, completed contracts, classification and security boundary matrix, Unity Catalog registration standards, BAU handoff.</w:t>
      </w:r>
      <w:r>
        <w:t xml:space="preserve"> </w:t>
      </w:r>
      <w:r>
        <w:rPr>
          <w:bCs/>
          <w:b/>
        </w:rPr>
        <w:t xml:space="preserve">Exit gate:</w:t>
      </w:r>
      <w:r>
        <w:t xml:space="preserve"> </w:t>
      </w:r>
      <w:r>
        <w:t xml:space="preserve">all Tier 1 contracts registered by Week 10 (pre-freeze checkpoint).</w:t>
      </w:r>
    </w:p>
    <w:p>
      <w:r>
        <w:pict>
          <v:rect style="width:0;height:1.5pt" o:hralign="center" o:hrstd="t" o:hr="t"/>
        </w:pict>
      </w:r>
    </w:p>
    <w:bookmarkEnd w:id="22"/>
    <w:bookmarkStart w:id="23" w:name="workstream-b2-bronze-data-landing"/>
    <w:p>
      <w:pPr>
        <w:pStyle w:val="Heading2"/>
      </w:pPr>
      <w:r>
        <w:t xml:space="preserve">4. Workstream B2: Bronze Data Landing</w:t>
      </w:r>
    </w:p>
    <w:p>
      <w:pPr>
        <w:pStyle w:val="FirstParagraph"/>
      </w:pPr>
      <w:r>
        <w:rPr>
          <w:bCs/>
          <w:b/>
        </w:rPr>
        <w:t xml:space="preserve">Data-architecture objective:</w:t>
      </w:r>
      <w:r>
        <w:t xml:space="preserve"> </w:t>
      </w:r>
      <w:r>
        <w:t xml:space="preserve">every ingestion workflow lands reliably in governed Bronze Delta tables within the 5-minute SLA, with the design KPMG validates (SciCom executes Cribl and infrastructure).</w:t>
      </w:r>
    </w:p>
    <w:p>
      <w:pPr>
        <w:pStyle w:val="BodyText"/>
      </w:pPr>
      <w:r>
        <w:rPr>
          <w:bCs/>
          <w:b/>
        </w:rPr>
        <w:t xml:space="preserve">Approach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Design Bronze (Data Architecture + Medallion).</w:t>
      </w:r>
      <w:r>
        <w:t xml:space="preserve"> </w:t>
      </w:r>
      <w:r>
        <w:t xml:space="preserve">Consolidate 925 indexes → 126 families → ~25–50 Bronze tables using the four patterns; canonical envelope on every table; partition by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with a secondary dimension per table type.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 the storage contract (Storage).</w:t>
      </w:r>
      <w:r>
        <w:t xml:space="preserve"> </w:t>
      </w:r>
      <w:r>
        <w:t xml:space="preserve">Landing paths by Bronze product,</w:t>
      </w:r>
      <w:r>
        <w:t xml:space="preserve"> </w:t>
      </w:r>
      <w:r>
        <w:rPr>
          <w:rStyle w:val="VerbatimChar"/>
        </w:rPr>
        <w:t xml:space="preserve">Product/Year/Month/Day/Hour</w:t>
      </w:r>
      <w:r>
        <w:t xml:space="preserve">, JSON or Parquet, 128–512 MB files, CMK encryption, lifecycle and optional WORM; deterministic path → table mapping.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Configure ingestion (Ingestion).</w:t>
      </w:r>
      <w:r>
        <w:t xml:space="preserve"> </w:t>
      </w:r>
      <w:r>
        <w:t xml:space="preserve">Auto Loader in file-notification mode via Event Grid, managed checkpoints, additive schema evolution with rescued-data column, malformed files to quarantine; streaming for Tier 1, 15-minute micro-batch for Tier 2, daily batch for Tier 3 (60–70% compute saving).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Validate each workflow</w:t>
      </w:r>
      <w:r>
        <w:t xml:space="preserve"> </w:t>
      </w:r>
      <w:r>
        <w:t xml:space="preserve">with the five-step sequence (connectivity, sample, schema, throughput, 24-hour SLA), including persistent-queue sizing per data center (Shea &lt;1 hour is the known high risk) and the NiFi disposition and PHI chain-of-custody assessment.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throughput:</w:t>
      </w:r>
      <w:r>
        <w:t xml:space="preserve"> </w:t>
      </w:r>
      <w:r>
        <w:t xml:space="preserve">smoke, ramp, production parity, 150% burst, failure recovery; measure</w:t>
      </w:r>
      <w:r>
        <w:t xml:space="preserve"> </w:t>
      </w:r>
      <w:r>
        <w:rPr>
          <w:rStyle w:val="VerbatimChar"/>
        </w:rPr>
        <w:t xml:space="preserve">ingest_timestamp − source_timestamp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activation</w:t>
      </w:r>
      <w:r>
        <w:t xml:space="preserve"> </w:t>
      </w:r>
      <w:r>
        <w:t xml:space="preserve">with the readiness scorecard (connectivity, throughput, data quality, governance, monitoring): all Green, Yellow only with risk acceptance, any Red blocks.</w:t>
      </w:r>
    </w:p>
    <w:p>
      <w:pPr>
        <w:pStyle w:val="FirstParagraph"/>
      </w:pPr>
      <w:r>
        <w:rPr>
          <w:bCs/>
          <w:b/>
        </w:rPr>
        <w:t xml:space="preserve">Outputs:</w:t>
      </w:r>
      <w:r>
        <w:t xml:space="preserve"> </w:t>
      </w:r>
      <w:r>
        <w:t xml:space="preserve">Bronze design, routing matrix, Autoloader/Event Grid evidence, table and partition design, throughput and SLA report, pre-freeze readiness checkpoint.</w:t>
      </w:r>
      <w:r>
        <w:t xml:space="preserve"> </w:t>
      </w:r>
      <w:r>
        <w:rPr>
          <w:bCs/>
          <w:b/>
        </w:rPr>
        <w:t xml:space="preserve">Exit gate:</w:t>
      </w:r>
      <w:r>
        <w:t xml:space="preserve"> </w:t>
      </w:r>
      <w:r>
        <w:t xml:space="preserve">Tier 1 sources flowing with scorecard Green before the freeze; C can read populated Bronze.</w:t>
      </w:r>
    </w:p>
    <w:p>
      <w:r>
        <w:pict>
          <v:rect style="width:0;height:1.5pt" o:hralign="center" o:hrstd="t" o:hr="t"/>
        </w:pict>
      </w:r>
    </w:p>
    <w:bookmarkEnd w:id="23"/>
    <w:bookmarkStart w:id="24" w:name="X3ed8c6ca2db340d60b8ed8f85b97104763abb5b"/>
    <w:p>
      <w:pPr>
        <w:pStyle w:val="Heading2"/>
      </w:pPr>
      <w:r>
        <w:t xml:space="preserve">5. Workstream C: Data Architecture and Pipeline Enablement</w:t>
      </w:r>
    </w:p>
    <w:p>
      <w:pPr>
        <w:pStyle w:val="FirstParagraph"/>
      </w:pPr>
      <w:r>
        <w:rPr>
          <w:bCs/>
          <w:b/>
        </w:rPr>
        <w:t xml:space="preserve">Data-architecture objective:</w:t>
      </w:r>
      <w:r>
        <w:t xml:space="preserve"> </w:t>
      </w:r>
      <w:r>
        <w:t xml:space="preserve">deliver the canonical model, template-driven Silver, governed data products and Gold self-service.</w:t>
      </w:r>
    </w:p>
    <w:p>
      <w:pPr>
        <w:pStyle w:val="BodyText"/>
      </w:pPr>
      <w:r>
        <w:rPr>
          <w:bCs/>
          <w:b/>
        </w:rPr>
        <w:t xml:space="preserve">Approach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Canonical model (Weeks 1–3).</w:t>
      </w:r>
      <w:r>
        <w:t xml:space="preserve"> </w:t>
      </w:r>
      <w:r>
        <w:t xml:space="preserve">Three tiers: Tier 1 OCSF/ECS for security data needing cross-domain detection; Tier 2 governed native schema for observability data; Tier 3 common metadata envelope on all tables. Document source → model → ontology mapping (answers the Jul 28 request).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Conformed dimensions first.</w:t>
      </w:r>
      <w:r>
        <w:t xml:space="preserve"> </w:t>
      </w:r>
      <w:r>
        <w:t xml:space="preserve">Specify the 15 dimensions (SCD Type 2 for application, asset, business service, configuration item, business unit, cloud resources). Silver enrichment depends on CMDB-quality</w:t>
      </w:r>
      <w:r>
        <w:t xml:space="preserve"> </w:t>
      </w:r>
      <w:r>
        <w:rPr>
          <w:rStyle w:val="VerbatimChar"/>
        </w:rPr>
        <w:t xml:space="preserve">dim_asset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dim_application</w:t>
      </w:r>
      <w:r>
        <w:t xml:space="preserve">, so these land before most domain pipelines.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Template library (Weeks 4–10).</w:t>
      </w:r>
      <w:r>
        <w:t xml:space="preserve"> </w:t>
      </w:r>
      <w:r>
        <w:t xml:space="preserve">18–22 parameterized DLT templates across eight categories, seeded by the A pilot. Each template: validate schema → parse → normalize → enrich → mask → de-duplicate → quality expectations. Tier hot/warm/cold from the contract SLA.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Silver domains (Weeks 7–18).</w:t>
      </w:r>
      <w:r>
        <w:t xml:space="preserve"> </w:t>
      </w:r>
      <w:r>
        <w:t xml:space="preserve">Nine domains over four pods; many instantiations (240–320) converge on fewer physical tables (68–150). Engagement capacity supports ~350–400 priority pipelines of ~1,000 total.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Governance.</w:t>
      </w:r>
      <w:r>
        <w:t xml:space="preserve"> </w:t>
      </w:r>
      <w:r>
        <w:t xml:space="preserve">Bronze Restricted → Silver Internal via regex, NER and tokenization masking; Unity Catalog tags, row filters, column masks; HIPAA evidence (access, masking, classification, lineage, retention).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products and Gold (Weeks 11–22).</w:t>
      </w:r>
      <w:r>
        <w:t xml:space="preserve"> </w:t>
      </w:r>
      <w:r>
        <w:t xml:space="preserve">Promote Silver tables with a named consumer, product owner, published SLOs and &gt;99% expectation pass rate; 12 Gold products; Genie semantic models; team-owned Gold workspaces that read Silver, never Bronze.</w:t>
      </w:r>
    </w:p>
    <w:p>
      <w:pPr>
        <w:pStyle w:val="FirstParagraph"/>
      </w:pPr>
      <w:r>
        <w:rPr>
          <w:bCs/>
          <w:b/>
        </w:rPr>
        <w:t xml:space="preserve">Outputs:</w:t>
      </w:r>
      <w:r>
        <w:t xml:space="preserve"> </w:t>
      </w:r>
      <w:r>
        <w:t xml:space="preserve">canonical model and mapping, template library, pipeline inventory, Silver data model and product catalog, conformed dimensions, UC governance configuration, Gold workspace design, runbooks.</w:t>
      </w:r>
      <w:r>
        <w:t xml:space="preserve"> </w:t>
      </w:r>
      <w:r>
        <w:rPr>
          <w:bCs/>
          <w:b/>
        </w:rPr>
        <w:t xml:space="preserve">Exit gate:</w:t>
      </w:r>
      <w:r>
        <w:t xml:space="preserve"> </w:t>
      </w:r>
      <w:r>
        <w:t xml:space="preserve">Silver CIM-domain tables queryable for D; Gold workspaces ready for E’s adoption waves.</w:t>
      </w:r>
    </w:p>
    <w:p>
      <w:r>
        <w:pict>
          <v:rect style="width:0;height:1.5pt" o:hralign="center" o:hrstd="t" o:hr="t"/>
        </w:pict>
      </w:r>
    </w:p>
    <w:bookmarkEnd w:id="24"/>
    <w:bookmarkStart w:id="25" w:name="X6109329aa2541369363a4433c5f909fd74e86d0"/>
    <w:p>
      <w:pPr>
        <w:pStyle w:val="Heading2"/>
      </w:pPr>
      <w:r>
        <w:t xml:space="preserve">6. Decisions and conflicts the SME needs to rule 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PHI/PII is masked and what Bronze contains.</w:t>
            </w:r>
            <w:r>
              <w:t xml:space="preserve"> </w:t>
            </w:r>
            <w:r>
              <w:t xml:space="preserve">Walkthrough §5 says masking happens at Cribl before the lake, yet §6/§11 treat Bronze as Restricted with unmasked PHI. B1 contract example sets</w:t>
            </w:r>
            <w:r>
              <w:t xml:space="preserve"> </w:t>
            </w:r>
            <w:r>
              <w:rPr>
                <w:rStyle w:val="VerbatimChar"/>
              </w:rPr>
              <w:t xml:space="preserve">cribl_guard_pre_ingestion</w:t>
            </w:r>
            <w:r>
              <w:t xml:space="preserve"> </w:t>
            </w:r>
            <w:r>
              <w:t xml:space="preserve">(Jul 31). C masks in DLT at Silver.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§5/§6, B1 §3.2, C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depth: Cribl Guard for known fields, DLT masking at Silver, Bronze stays Restricted until masking is proven by the OI-006 test. Tie to OI-002 (NiFi vs Cribl).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 structure.</w:t>
            </w:r>
            <w:r>
              <w:t xml:space="preserve"> </w:t>
            </w:r>
            <w:r>
              <w:t xml:space="preserve">Walkthrough proposes</w:t>
            </w:r>
            <w:r>
              <w:t xml:space="preserve"> </w:t>
            </w:r>
            <w:r>
              <w:rPr>
                <w:rStyle w:val="VerbatimChar"/>
              </w:rPr>
              <w:t xml:space="preserve">observability_prod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shared_enrichment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workspaces_user</w:t>
            </w:r>
            <w:r>
              <w:t xml:space="preserve">; C says one catalog per data domain (~8–12).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§11, C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decides in A3 and hands B1 the namespace; consider domain × environment with a shared enrichment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counts.</w:t>
            </w:r>
            <w:r>
              <w:t xml:space="preserve"> </w:t>
            </w:r>
            <w:r>
              <w:t xml:space="preserve">Bronze: ~25 (walkthrough, B1) vs 25–50 (B2) vs</w:t>
            </w:r>
            <w:r>
              <w:t xml:space="preserve"> </w:t>
            </w:r>
            <w:r>
              <w:t xml:space="preserve">“</w:t>
            </w:r>
            <w:r>
              <w:t xml:space="preserve">26-50</w:t>
            </w:r>
            <w:r>
              <w:t xml:space="preserve">”</w:t>
            </w:r>
            <w:r>
              <w:t xml:space="preserve"> </w:t>
            </w:r>
            <w:r>
              <w:t xml:space="preserve">(kickoff). Silver: 20–30 (walkthrough) vs 68–150 physical / 240–320 instantiations (C).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“</w:t>
            </w:r>
            <w:r>
              <w:t xml:space="preserve">~25–50 Bronze</w:t>
            </w:r>
            <w:r>
              <w:t xml:space="preserve">”</w:t>
            </w:r>
            <w:r>
              <w:t xml:space="preserve"> </w:t>
            </w:r>
            <w:r>
              <w:t xml:space="preserve">and C’s reconciliation (instantiations → physical tables → 9 domains → 12 Gold); get CVS architecture-lead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numbering.</w:t>
            </w:r>
            <w:r>
              <w:t xml:space="preserve"> </w:t>
            </w:r>
            <w:r>
              <w:t xml:space="preserve">Walkthrough: WF1 = data center primary path. B2: WF1 = Tanium via Akamai, WF2 = data center via NiFi. SAIPA documents: WF1 DC, WF2 multi-cloud, WF3 Tanium.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 §5, B2 §3, Appendix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one workflow registry before any test evidence is filed.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Bronze table naming.</w:t>
            </w:r>
            <w:r>
              <w:t xml:space="preserve"> </w:t>
            </w:r>
            <w:r>
              <w:rPr>
                <w:rStyle w:val="VerbatimChar"/>
              </w:rPr>
              <w:t xml:space="preserve">bronze.network_syslog</w:t>
            </w:r>
            <w:r>
              <w:t xml:space="preserve"> </w:t>
            </w:r>
            <w:r>
              <w:t xml:space="preserve">(B1 contract, B2 Pattern 3) vs</w:t>
            </w:r>
            <w:r>
              <w:t xml:space="preserve"> </w:t>
            </w:r>
            <w:r>
              <w:rPr>
                <w:rStyle w:val="VerbatimChar"/>
              </w:rPr>
              <w:t xml:space="preserve">bronze.enterprise_network_security</w:t>
            </w:r>
            <w:r>
              <w:t xml:space="preserve"> </w:t>
            </w:r>
            <w:r>
              <w:t xml:space="preserve">(B2 path map).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B1,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one; the path-to-table map should be the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 SLA.</w:t>
            </w:r>
            <w:r>
              <w:t xml:space="preserve"> </w:t>
            </w:r>
            <w:r>
              <w:t xml:space="preserve">99.9% in 5 minutes (B2), OI-003 asks &lt;30 s vs 5 min, diagram note says &lt;10 s, Event Grid green threshold &lt;30 s (A).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Walkthrough, A,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clock (source to Bronze write) per tier; keep 5 minutes for hot as the contractual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 date.</w:t>
            </w:r>
            <w:r>
              <w:t xml:space="preserve"> </w:t>
            </w:r>
            <w:r>
              <w:t xml:space="preserve">B1/B2 say November freeze; kickoff says December 1 change freeze.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B1/B2 vs 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CVS PMO.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Chronicle path.</w:t>
            </w:r>
            <w:r>
              <w:t xml:space="preserve"> </w:t>
            </w:r>
            <w:r>
              <w:t xml:space="preserve">Chronicle (~104 TB/day) may bypass Cribl.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in A whether a separate ingestion validation track is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currency.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methodologies for B1 and C are newer than the</w:t>
            </w:r>
            <w:r>
              <w:t xml:space="preserve"> </w:t>
            </w:r>
            <w:r>
              <w:rPr>
                <w:rStyle w:val="VerbatimChar"/>
              </w:rPr>
              <w:t xml:space="preserve">_DRAFT.docx</w:t>
            </w:r>
            <w:r>
              <w:t xml:space="preserve"> </w:t>
            </w:r>
            <w:r>
              <w:t xml:space="preserve">copies (the docx lacks the Cribl Guard confirmation and C’s table-count reconciliation).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the docx files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before circulating.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151b73dffd760dc45958cf7d9ddce04b82d442"/>
    <w:p>
      <w:pPr>
        <w:pStyle w:val="Heading2"/>
      </w:pPr>
      <w:r>
        <w:t xml:space="preserve">7. SME changes made to the primer (A_DB Architecture Assessment Primer)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A_DB Architecture Assessment Primer - SME Refined.pptx</w:t>
      </w:r>
      <w:r>
        <w:t xml:space="preserve"> </w:t>
      </w:r>
      <w:r>
        <w:t xml:space="preserve">(original left untouched).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Data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all four quadrants; widened right-hand boxes into unused slide space; real bullets; explicit heading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used only the left two-thirds of the slide and left Medallion nearly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Data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“</w:t>
            </w:r>
            <w:r>
              <w:t xml:space="preserve">canonical data model</w:t>
            </w:r>
            <w:r>
              <w:t xml:space="preserve">”</w:t>
            </w:r>
            <w:r>
              <w:t xml:space="preserve"> </w:t>
            </w:r>
            <w:r>
              <w:t xml:space="preserve">bullet became a tiered model (OCSF/ECS, governed native, common envelope); added conformed dimensions, source → model → ontology, ODCS contract fields, product SLOs and promotion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OCSF is security-only (Robinson, Jun 25), so one canonical model does not fit 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Event Grid file notification, latency tiers, idempotency, late-arriving data, schema evolution with rescued-data column, quarantine, and Cribl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the failure modes at scale; ADF alone does not describe telemetry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zone now Incoming / Validated / Quarantine; folders by product not source index; added ADLS Access (missing from slide 2 but on slide 1); file-size target; cold-copy caveat on Archive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Archive-tier blobs cannot be read by Delta without rehydration, so lifecycle tiering must not touch active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Medallion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the three layers’ contracts of responsibility, classification per layer, Gold guardrail (no Bronze access), and a Delta Lake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 listed Delta Lake but slide 2 omitted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stray periods (</w:t>
            </w:r>
            <w:r>
              <w:t xml:space="preserve">“</w:t>
            </w:r>
            <w:r>
              <w:t xml:space="preserve">Delta Lake.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Processing Controls.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Sub-heading names on slide 1 now match slide 2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the duplicated business question (reconciliation tolerances appeared twice) with a data-definition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interview role 7, Ingestion / Pipeline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on the list owned Cribl/NiFi/Event Grid/Auto Loader configuration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changed (flag for the next pass):</w:t>
      </w:r>
      <w:r>
        <w:t xml:space="preserve"> </w:t>
      </w:r>
      <w:r>
        <w:t xml:space="preserve">slides 4 and 5 are Splunk-specific while slides 1–3 are generic framework content; on slide 4 the top tech-oriented text slightly overlaps its header banner (pre-existing); on slide 1 the centre hexagon label wraps in LibreOffice rendering, so check it in PowerPoint.</w:t>
      </w:r>
    </w:p>
    <w:p>
      <w:r>
        <w:pict>
          <v:rect style="width:0;height:1.5pt" o:hralign="center" o:hrstd="t" o:hr="t"/>
        </w:pict>
      </w:r>
    </w:p>
    <w:bookmarkEnd w:id="26"/>
    <w:bookmarkStart w:id="27" w:name="sources"/>
    <w:p>
      <w:pPr>
        <w:pStyle w:val="Heading2"/>
      </w:pPr>
      <w:r>
        <w:t xml:space="preserve">8. Sources</w:t>
      </w:r>
    </w:p>
    <w:p>
      <w:pPr>
        <w:pStyle w:val="FirstParagraph"/>
      </w:pPr>
      <w:r>
        <w:rPr>
          <w:rStyle w:val="VerbatimChar"/>
        </w:rPr>
        <w:t xml:space="preserve">Kickoff Deck DRAFT.pptx</w:t>
      </w:r>
      <w:r>
        <w:t xml:space="preserve">;</w:t>
      </w:r>
      <w:r>
        <w:t xml:space="preserve"> </w:t>
      </w:r>
      <w:r>
        <w:rPr>
          <w:rStyle w:val="VerbatimChar"/>
        </w:rPr>
        <w:t xml:space="preserve">A_DB Architecture Assessment Primer.pptx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workstream-A_architect-environment-walkthrough (1).md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workstream-A_architecture-assessment-methodology_DRAFT.docx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workstream-B1_data-contracts-methodology.md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_DRAFT.docx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workstream-B2_bronze-data-landing-methodology.md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_DRAFT.docx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workstream-C_data-architecture-methodology.md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_DRAFT.docx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workstream-D_observability-rationalization-methodology_DRAFT.docx</w:t>
      </w:r>
      <w:r>
        <w:t xml:space="preserve"> </w:t>
      </w:r>
      <w:r>
        <w:t xml:space="preserve">(used for the C → D dependency and Chronicle scope).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2026-10-09T14:59:40Z</dcterms:created>
  <dcterms:modified xsi:type="dcterms:W3CDTF">2026-10-09T14:59:40Z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