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fa579968dd1b0ffafb96dff1435c2209a79521"/>
    <w:p>
      <w:pPr>
        <w:pStyle w:val="Heading1"/>
      </w:pPr>
      <w:r>
        <w:rPr>
          <w:rFonts w:ascii="Arial" w:hAnsi="Arial" w:cs="Arial" w:eastAsia="Arial"/>
        </w:rPr>
        <w:t xml:space="preserve">CVS Data Architecture Approach: Workstreams A, B1/B2, C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Lens: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data architecture, organized by the four Data Foundation areas in the Databricks Architecture Primer (Data Architecture, Data Ingestion and Processing, Storage Architecture, Medallion Architecture).</w:t>
      </w:r>
      <w:r>
        <w:rPr>
          <w:rFonts w:ascii="Arial" w:hAnsi="Arial" w:cs="Arial" w:eastAsia="Arial"/>
        </w:rPr>
        <w:t xml:space="preserve"> </w:t>
      </w:r>
      <w:r>
        <w:rPr>
          <w:bCs/>
          <w:rFonts w:ascii="Arial" w:hAnsi="Arial" w:cs="Arial" w:eastAsia="Arial"/>
          <w:b/>
        </w:rPr>
        <w:t xml:space="preserve">Built from: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every file in the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CVS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folder (see Section 8). Where files disagree, Section 6 lists the conflict and a recommended ruling.</w:t>
      </w:r>
      <w:r>
        <w:rPr>
          <w:rFonts w:ascii="Arial" w:hAnsi="Arial" w:cs="Arial" w:eastAsia="Arial"/>
        </w:rPr>
        <w:t xml:space="preserve"> </w:t>
      </w:r>
      <w:r>
        <w:rPr>
          <w:bCs/>
          <w:rFonts w:ascii="Arial" w:hAnsi="Arial" w:cs="Arial" w:eastAsia="Arial"/>
          <w:b/>
        </w:rPr>
        <w:t xml:space="preserve">Status: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working draft for SME review. Not client-ready until the Section 6 decisions are taken.</w:t>
      </w:r>
    </w:p>
    <w:p>
      <w:r>
        <w:rPr>
          <w:rFonts w:ascii="Arial" w:hAnsi="Arial" w:cs="Arial" w:eastAsia="Arial"/>
        </w:rPr>
        <w:pict>
          <v:rect style="width:0;height:1.5pt" o:hralign="center" o:hrstd="t" o:hr="t"/>
        </w:pict>
      </w:r>
    </w:p>
    <w:bookmarkStart w:id="20" w:name="the-integrated-approach-in-one-view"/>
    <w:p>
      <w:pPr>
        <w:pStyle w:val="Heading2"/>
      </w:pPr>
      <w:r>
        <w:rPr>
          <w:rFonts w:ascii="Arial" w:hAnsi="Arial" w:cs="Arial" w:eastAsia="Arial"/>
        </w:rPr>
        <w:t xml:space="preserve">1. The integrated approach in one view</w:t>
      </w:r>
    </w:p>
    <w:p>
      <w:pPr>
        <w:pStyle w:val="FirstParagraph"/>
      </w:pPr>
      <w:r>
        <w:rPr>
          <w:rFonts w:ascii="Arial" w:hAnsi="Arial" w:cs="Arial" w:eastAsia="Arial"/>
        </w:rPr>
        <w:t xml:space="preserve">The four workstreams are one data-architecture chain. A proves and fixes the pattern, B1 decides which data is governed and how, B2 lands it in Bronze, C turns it into Silver and Gold products.</w:t>
      </w:r>
    </w:p>
    <w:tbl>
      <w:tblPr>
        <w:tblStyle w:val="Table"/>
        <w:tblW w:type="dxa" w:w="9648"/>
        <w:tblLook w:firstRow="1" w:lastRow="0" w:firstColumn="0" w:lastColumn="0" w:noHBand="0" w:noVBand="0" w:val="0020"/>
        <w:jc w:val="start"/>
        <w:tblBorders>
          <w:top w:val="single" w:sz="4" w:space="0" w:color="BFC9DD"/>
          <w:left w:val="single" w:sz="4" w:space="0" w:color="BFC9DD"/>
          <w:bottom w:val="single" w:sz="4" w:space="0" w:color="BFC9DD"/>
          <w:right w:val="single" w:sz="4" w:space="0" w:color="BFC9DD"/>
          <w:insideH w:val="single" w:sz="4" w:space="0" w:color="BFC9DD"/>
          <w:insideV w:val="single" w:sz="4" w:space="0" w:color="BFC9DD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494"/>
        <w:gridCol w:w="4840"/>
        <w:gridCol w:w="3313"/>
      </w:tblGrid>
      <w:tr>
        <w:trPr>
          <w:tblHeader w:val="true"/>
          <w:cantSplit/>
          <w:tblHeader/>
        </w:trPr>
        <w:tc>
          <w:tcPr>
            <w:tcW w:type="dxa" w:w="1494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From → To</w:t>
            </w:r>
          </w:p>
        </w:tc>
        <w:tc>
          <w:tcPr>
            <w:tcW w:type="dxa" w:w="4840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What passes across</w:t>
            </w:r>
          </w:p>
        </w:tc>
        <w:tc>
          <w:tcPr>
            <w:tcW w:type="dxa" w:w="3313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Gate to release</w:t>
            </w:r>
          </w:p>
        </w:tc>
      </w:tr>
      <w:tr>
        <w:trPr>
          <w:cantSplit/>
        </w:trPr>
        <w:tc>
          <w:tcPr>
            <w:tcW w:type="dxa" w:w="149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A → B1</w:t>
            </w:r>
          </w:p>
        </w:tc>
        <w:tc>
          <w:tcPr>
            <w:tcW w:type="dxa" w:w="484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Canonical metadata standard, ODCS template, Unity Catalog namespace hierarchy</w:t>
            </w:r>
          </w:p>
        </w:tc>
        <w:tc>
          <w:tcPr>
            <w:tcW w:type="dxa" w:w="3313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Catalog taxonomy decision (Section 6, D2)</w:t>
            </w:r>
          </w:p>
        </w:tc>
      </w:tr>
      <w:tr>
        <w:trPr>
          <w:cantSplit/>
        </w:trPr>
        <w:tc>
          <w:tcPr>
            <w:tcW w:type="dxa" w:w="149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A → B2</w:t>
            </w:r>
          </w:p>
        </w:tc>
        <w:tc>
          <w:tcPr>
            <w:tcW w:type="dxa" w:w="484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Validated Auto Loader + Event Grid pattern, ADLS folder hierarchy, throughput benchmarks</w:t>
            </w:r>
          </w:p>
        </w:tc>
        <w:tc>
          <w:tcPr>
            <w:tcW w:type="dxa" w:w="3313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Landing-zone and network clearance; A2 pilot performance baseline</w:t>
            </w:r>
          </w:p>
        </w:tc>
      </w:tr>
      <w:tr>
        <w:trPr>
          <w:cantSplit/>
        </w:trPr>
        <w:tc>
          <w:tcPr>
            <w:tcW w:type="dxa" w:w="149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A → C</w:t>
            </w:r>
          </w:p>
        </w:tc>
        <w:tc>
          <w:tcPr>
            <w:tcW w:type="dxa" w:w="484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Pilot as reference pattern: DLT code, Silver schema, RBAC and masking pattern, FinOps baseline</w:t>
            </w:r>
          </w:p>
        </w:tc>
        <w:tc>
          <w:tcPr>
            <w:tcW w:type="dxa" w:w="3313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Pilot accepted by CVS product owner</w:t>
            </w:r>
          </w:p>
        </w:tc>
      </w:tr>
      <w:tr>
        <w:trPr>
          <w:cantSplit/>
        </w:trPr>
        <w:tc>
          <w:tcPr>
            <w:tcW w:type="dxa" w:w="149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B1 → B2</w:t>
            </w:r>
          </w:p>
        </w:tc>
        <w:tc>
          <w:tcPr>
            <w:tcW w:type="dxa" w:w="484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Approved contract per source family: routing rule, Bronze table, partition keys</w:t>
            </w:r>
          </w:p>
        </w:tc>
        <w:tc>
          <w:tcPr>
            <w:tcW w:type="dxa" w:w="3313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Contract registered in Unity Catalog before the source activates</w:t>
            </w:r>
          </w:p>
        </w:tc>
      </w:tr>
      <w:tr>
        <w:trPr>
          <w:cantSplit/>
        </w:trPr>
        <w:tc>
          <w:tcPr>
            <w:tcW w:type="dxa" w:w="149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B1 → C</w:t>
            </w:r>
          </w:p>
        </w:tc>
        <w:tc>
          <w:tcPr>
            <w:tcW w:type="dxa" w:w="484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Schema, classification, SLA, masking rules, lineage, downstream specification</w:t>
            </w:r>
          </w:p>
        </w:tc>
        <w:tc>
          <w:tcPr>
            <w:tcW w:type="dxa" w:w="3313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Approved contract for the target family</w:t>
            </w:r>
          </w:p>
        </w:tc>
      </w:tr>
      <w:tr>
        <w:trPr>
          <w:cantSplit/>
        </w:trPr>
        <w:tc>
          <w:tcPr>
            <w:tcW w:type="dxa" w:w="149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B2 → C</w:t>
            </w:r>
          </w:p>
        </w:tc>
        <w:tc>
          <w:tcPr>
            <w:tcW w:type="dxa" w:w="484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Populated Bronze tables, confirmed schemas and partition keys</w:t>
            </w:r>
          </w:p>
        </w:tc>
        <w:tc>
          <w:tcPr>
            <w:tcW w:type="dxa" w:w="3313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Tier 1 Bronze tables carrying production data</w:t>
            </w:r>
          </w:p>
        </w:tc>
      </w:tr>
      <w:tr>
        <w:trPr>
          <w:cantSplit/>
        </w:trPr>
        <w:tc>
          <w:tcPr>
            <w:tcW w:type="dxa" w:w="149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C → D</w:t>
            </w:r>
          </w:p>
        </w:tc>
        <w:tc>
          <w:tcPr>
            <w:tcW w:type="dxa" w:w="484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Silver and Gold tables, including pre-aggregated tables for the 16 ES accelerated CIM data models</w:t>
            </w:r>
          </w:p>
        </w:tc>
        <w:tc>
          <w:tcPr>
            <w:tcW w:type="dxa" w:w="3313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Queryable Silver data (hard sequencing dependency per WS-D §7.3)</w:t>
            </w:r>
          </w:p>
        </w:tc>
      </w:tr>
    </w:tbl>
    <w:p>
      <w:pPr>
        <w:pStyle w:val="BodyText"/>
      </w:pPr>
      <w:r>
        <w:rPr>
          <w:bCs/>
          <w:rFonts w:ascii="Arial" w:hAnsi="Arial" w:cs="Arial" w:eastAsia="Arial"/>
          <w:b/>
        </w:rPr>
        <w:t xml:space="preserve">Framework area × workstream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(L = leads, C = contributes, I = consumes):</w:t>
      </w:r>
    </w:p>
    <w:tbl>
      <w:tblPr>
        <w:tblStyle w:val="Table"/>
        <w:tblW w:type="dxa" w:w="9648"/>
        <w:tblLook w:firstRow="1" w:lastRow="0" w:firstColumn="0" w:lastColumn="0" w:noHBand="0" w:noVBand="0" w:val="0020"/>
        <w:jc w:val="start"/>
        <w:tblBorders>
          <w:top w:val="single" w:sz="4" w:space="0" w:color="BFC9DD"/>
          <w:left w:val="single" w:sz="4" w:space="0" w:color="BFC9DD"/>
          <w:bottom w:val="single" w:sz="4" w:space="0" w:color="BFC9DD"/>
          <w:right w:val="single" w:sz="4" w:space="0" w:color="BFC9DD"/>
          <w:insideH w:val="single" w:sz="4" w:space="0" w:color="BFC9DD"/>
          <w:insideV w:val="single" w:sz="4" w:space="0" w:color="BFC9DD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239"/>
        <w:gridCol w:w="1954"/>
        <w:gridCol w:w="1898"/>
        <w:gridCol w:w="1614"/>
        <w:gridCol w:w="1940"/>
      </w:tblGrid>
      <w:tr>
        <w:trPr>
          <w:tblHeader w:val="true"/>
          <w:cantSplit/>
          <w:tblHeader/>
        </w:trPr>
        <w:tc>
          <w:tcPr>
            <w:tcW w:type="dxa" w:w="2240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Framework area</w:t>
            </w:r>
          </w:p>
        </w:tc>
        <w:tc>
          <w:tcPr>
            <w:tcW w:type="dxa" w:w="1954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</w:t>
            </w:r>
          </w:p>
        </w:tc>
        <w:tc>
          <w:tcPr>
            <w:tcW w:type="dxa" w:w="1899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B1</w:t>
            </w:r>
          </w:p>
        </w:tc>
        <w:tc>
          <w:tcPr>
            <w:tcW w:type="dxa" w:w="1615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B2</w:t>
            </w:r>
          </w:p>
        </w:tc>
        <w:tc>
          <w:tcPr>
            <w:tcW w:type="dxa" w:w="1940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24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Data Architecture (modeling, semantics, products)</w:t>
            </w:r>
          </w:p>
        </w:tc>
        <w:tc>
          <w:tcPr>
            <w:tcW w:type="dxa" w:w="195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sets pattern and decisions</w:t>
            </w:r>
          </w:p>
        </w:tc>
        <w:tc>
          <w:tcPr>
            <w:tcW w:type="dxa" w:w="1899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contracts, taxonomy, classification</w:t>
            </w:r>
          </w:p>
        </w:tc>
        <w:tc>
          <w:tcPr>
            <w:tcW w:type="dxa" w:w="1615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I</w:t>
            </w:r>
          </w:p>
        </w:tc>
        <w:tc>
          <w:tcPr>
            <w:tcW w:type="dxa" w:w="194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canonical model, conformed dimensions, data products</w:t>
            </w:r>
          </w:p>
        </w:tc>
      </w:tr>
      <w:tr>
        <w:trPr>
          <w:cantSplit/>
        </w:trPr>
        <w:tc>
          <w:tcPr>
            <w:tcW w:type="dxa" w:w="224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Data Ingestion and Processing</w:t>
            </w:r>
          </w:p>
        </w:tc>
        <w:tc>
          <w:tcPr>
            <w:tcW w:type="dxa" w:w="195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validates 1–3, scalability</w:t>
            </w:r>
          </w:p>
        </w:tc>
        <w:tc>
          <w:tcPr>
            <w:tcW w:type="dxa" w:w="1899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C: routing rules</w:t>
            </w:r>
          </w:p>
        </w:tc>
        <w:tc>
          <w:tcPr>
            <w:tcW w:type="dxa" w:w="1615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WF1–WF6, Auto Loader, tiering, SLA</w:t>
            </w:r>
          </w:p>
        </w:tc>
        <w:tc>
          <w:tcPr>
            <w:tcW w:type="dxa" w:w="194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DLT templates, hot/warm/cold tiers</w:t>
            </w:r>
          </w:p>
        </w:tc>
      </w:tr>
      <w:tr>
        <w:trPr>
          <w:cantSplit/>
        </w:trPr>
        <w:tc>
          <w:tcPr>
            <w:tcW w:type="dxa" w:w="224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Storage Architecture</w:t>
            </w:r>
          </w:p>
        </w:tc>
        <w:tc>
          <w:tcPr>
            <w:tcW w:type="dxa" w:w="195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ADLS, encryption, DR assessment</w:t>
            </w:r>
          </w:p>
        </w:tc>
        <w:tc>
          <w:tcPr>
            <w:tcW w:type="dxa" w:w="1899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C: retention, classification</w:t>
            </w:r>
          </w:p>
        </w:tc>
        <w:tc>
          <w:tcPr>
            <w:tcW w:type="dxa" w:w="1615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landing paths, file standards, queues</w:t>
            </w:r>
          </w:p>
        </w:tc>
        <w:tc>
          <w:tcPr>
            <w:tcW w:type="dxa" w:w="194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224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Medallion Architecture</w:t>
            </w:r>
          </w:p>
        </w:tc>
        <w:tc>
          <w:tcPr>
            <w:tcW w:type="dxa" w:w="195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pilot Bronze→Gold</w:t>
            </w:r>
          </w:p>
        </w:tc>
        <w:tc>
          <w:tcPr>
            <w:tcW w:type="dxa" w:w="1899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C: contract = Bronze spec</w:t>
            </w:r>
          </w:p>
        </w:tc>
        <w:tc>
          <w:tcPr>
            <w:tcW w:type="dxa" w:w="1615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Bronze</w:t>
            </w:r>
          </w:p>
        </w:tc>
        <w:tc>
          <w:tcPr>
            <w:tcW w:type="dxa" w:w="194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L: Silver and Gold</w:t>
            </w:r>
          </w:p>
        </w:tc>
      </w:tr>
    </w:tbl>
    <w:p>
      <w:r>
        <w:rPr>
          <w:rFonts w:ascii="Arial" w:hAnsi="Arial" w:cs="Arial" w:eastAsia="Arial"/>
        </w:rPr>
        <w:pict>
          <v:rect style="width:0;height:1.5pt" o:hralign="center" o:hrstd="t" o:hr="t"/>
        </w:pict>
      </w:r>
    </w:p>
    <w:bookmarkEnd w:id="20"/>
    <w:bookmarkStart w:id="21" w:name="Xdb3340cb77e2e9a65879720efcc9dabb7e4e76f"/>
    <w:p>
      <w:pPr>
        <w:pStyle w:val="Heading2"/>
      </w:pPr>
      <w:r>
        <w:rPr>
          <w:rFonts w:ascii="Arial" w:hAnsi="Arial" w:cs="Arial" w:eastAsia="Arial"/>
        </w:rPr>
        <w:t xml:space="preserve">2. Workstream A: Architecture Assessment, Pilot, Remediation (12 weeks)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Data-architecture objective: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prove the Bronze → Silver → Gold pattern on real data and set the decisions B and C build on, so neither workstream reworks.</w:t>
      </w:r>
    </w:p>
    <w:p>
      <w:pPr>
        <w:pStyle w:val="BodyText"/>
      </w:pPr>
      <w:r>
        <w:rPr>
          <w:bCs/>
          <w:rFonts w:ascii="Arial" w:hAnsi="Arial" w:cs="Arial" w:eastAsia="Arial"/>
          <w:b/>
        </w:rPr>
        <w:t xml:space="preserve">Gap to close first.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A’s seven assessment domains are platform-centric (Unity Catalog, security, encryption, DR, scalability, FinOps, CI/CD). Data modeling, Bronze design, landing-zone layout and ingestion patterns are only covered implicitly through the pilot.</w:t>
      </w:r>
      <w:r>
        <w:rPr>
          <w:rFonts w:ascii="Arial" w:hAnsi="Arial" w:cs="Arial" w:eastAsia="Arial"/>
        </w:rPr>
        <w:t xml:space="preserve"> </w:t>
      </w:r>
      <w:r>
        <w:rPr>
          <w:bCs/>
          <w:rFonts w:ascii="Arial" w:hAnsi="Arial" w:cs="Arial" w:eastAsia="Arial"/>
          <w:b/>
        </w:rPr>
        <w:t xml:space="preserve">Recommendation: add Domain 8,</w:t>
      </w:r>
      <w:r>
        <w:rPr>
          <w:bCs/>
          <w:rFonts w:ascii="Arial" w:hAnsi="Arial" w:cs="Arial" w:eastAsia="Arial"/>
          <w:b/>
        </w:rPr>
        <w:t xml:space="preserve"> </w:t>
      </w:r>
      <w:r>
        <w:rPr>
          <w:bCs/>
          <w:rFonts w:ascii="Arial" w:hAnsi="Arial" w:cs="Arial" w:eastAsia="Arial"/>
          <w:b/>
        </w:rPr>
        <w:t xml:space="preserve">“</w:t>
      </w:r>
      <w:r>
        <w:rPr>
          <w:bCs/>
          <w:rFonts w:ascii="Arial" w:hAnsi="Arial" w:cs="Arial" w:eastAsia="Arial"/>
          <w:b/>
        </w:rPr>
        <w:t xml:space="preserve">Data Architecture and Medallion Design</w:t>
      </w:r>
      <w:r>
        <w:rPr>
          <w:bCs/>
          <w:rFonts w:ascii="Arial" w:hAnsi="Arial" w:cs="Arial" w:eastAsia="Arial"/>
          <w:b/>
        </w:rPr>
        <w:t xml:space="preserve">”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(and a matching feature 1.x in the kickoff epic), scored with the same Green/Yellow/Red rubric:</w:t>
      </w:r>
    </w:p>
    <w:tbl>
      <w:tblPr>
        <w:tblStyle w:val="Table"/>
        <w:tblW w:type="dxa" w:w="9648"/>
        <w:tblLook w:firstRow="1" w:lastRow="0" w:firstColumn="0" w:lastColumn="0" w:noHBand="0" w:noVBand="0" w:val="0020"/>
        <w:jc w:val="start"/>
        <w:tblBorders>
          <w:top w:val="single" w:sz="4" w:space="0" w:color="BFC9DD"/>
          <w:left w:val="single" w:sz="4" w:space="0" w:color="BFC9DD"/>
          <w:bottom w:val="single" w:sz="4" w:space="0" w:color="BFC9DD"/>
          <w:right w:val="single" w:sz="4" w:space="0" w:color="BFC9DD"/>
          <w:insideH w:val="single" w:sz="4" w:space="0" w:color="BFC9DD"/>
          <w:insideV w:val="single" w:sz="4" w:space="0" w:color="BFC9DD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241"/>
        <w:gridCol w:w="2409"/>
        <w:gridCol w:w="3996"/>
      </w:tblGrid>
      <w:tr>
        <w:trPr>
          <w:tblHeader w:val="true"/>
          <w:cantSplit/>
          <w:tblHeader/>
        </w:trPr>
        <w:tc>
          <w:tcPr>
            <w:tcW w:type="dxa" w:w="3242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Assessment item</w:t>
            </w:r>
          </w:p>
        </w:tc>
        <w:tc>
          <w:tcPr>
            <w:tcW w:type="dxa" w:w="2409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Evidence</w:t>
            </w:r>
          </w:p>
        </w:tc>
        <w:tc>
          <w:tcPr>
            <w:tcW w:type="dxa" w:w="3997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Green / Yellow / Red</w:t>
            </w:r>
          </w:p>
        </w:tc>
      </w:tr>
      <w:tr>
        <w:trPr>
          <w:cantSplit/>
        </w:trPr>
        <w:tc>
          <w:tcPr>
            <w:tcW w:type="dxa" w:w="324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Canonical Bronze metadata envelope defined and applied</w:t>
            </w:r>
          </w:p>
        </w:tc>
        <w:tc>
          <w:tcPr>
            <w:tcW w:type="dxa" w:w="2409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Bronze DDL, schema registry</w:t>
            </w:r>
          </w:p>
        </w:tc>
        <w:tc>
          <w:tcPr>
            <w:tcW w:type="dxa" w:w="3997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All tables carry it / partial / ad-hoc schemas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Source-family → Bronze-table consolidation documented</w:t>
            </w:r>
          </w:p>
        </w:tc>
        <w:tc>
          <w:tcPr>
            <w:tcW w:type="dxa" w:w="2409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Mapping sheet, Bronze table list</w:t>
            </w:r>
          </w:p>
        </w:tc>
        <w:tc>
          <w:tcPr>
            <w:tcW w:type="dxa" w:w="3997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Documented and ratified / draft / table per index</w:t>
            </w:r>
          </w:p>
        </w:tc>
      </w:tr>
      <w:tr>
        <w:trPr>
          <w:cantSplit/>
        </w:trPr>
        <w:tc>
          <w:tcPr>
            <w:tcW w:type="dxa" w:w="324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Landing-zone and folder convention, quarantine path</w:t>
            </w:r>
          </w:p>
        </w:tc>
        <w:tc>
          <w:tcPr>
            <w:tcW w:type="dxa" w:w="2409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ADLS container inspection</w:t>
            </w:r>
          </w:p>
        </w:tc>
        <w:tc>
          <w:tcPr>
            <w:tcW w:type="dxa" w:w="3997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By product/date with quarantine / convention without quarantine / ad hoc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Auto Loader configuration</w:t>
            </w:r>
          </w:p>
        </w:tc>
        <w:tc>
          <w:tcPr>
            <w:tcW w:type="dxa" w:w="2409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Job config, checkpoint review</w:t>
            </w:r>
          </w:p>
        </w:tc>
        <w:tc>
          <w:tcPr>
            <w:tcW w:type="dxa" w:w="3997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File notification, rescued-data column, quarantine / partly / directory listing with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mergeSchema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only</w:t>
            </w:r>
          </w:p>
        </w:tc>
      </w:tr>
      <w:tr>
        <w:trPr>
          <w:cantSplit/>
        </w:trPr>
        <w:tc>
          <w:tcPr>
            <w:tcW w:type="dxa" w:w="324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Partitioning, clustering, file size</w:t>
            </w:r>
          </w:p>
        </w:tc>
        <w:tc>
          <w:tcPr>
            <w:tcW w:type="dxa" w:w="2409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Table details, file-size histogram</w:t>
            </w:r>
          </w:p>
        </w:tc>
        <w:tc>
          <w:tcPr>
            <w:tcW w:type="dxa" w:w="3997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Average ≥128 MB / 64–128 MB / &lt;64 MB (alert threshold in B2 §7.4)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Classification boundary enforced (Restricted → Internal)</w:t>
            </w:r>
          </w:p>
        </w:tc>
        <w:tc>
          <w:tcPr>
            <w:tcW w:type="dxa" w:w="2409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UC tags, masking test evidence</w:t>
            </w:r>
          </w:p>
        </w:tc>
        <w:tc>
          <w:tcPr>
            <w:tcW w:type="dxa" w:w="3997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Tested and tagged / defined, untested / undefined</w:t>
            </w:r>
          </w:p>
        </w:tc>
      </w:tr>
      <w:tr>
        <w:trPr>
          <w:cantSplit/>
        </w:trPr>
        <w:tc>
          <w:tcPr>
            <w:tcW w:type="dxa" w:w="324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Silver contract enforcement and quality expectations</w:t>
            </w:r>
          </w:p>
        </w:tc>
        <w:tc>
          <w:tcPr>
            <w:tcW w:type="dxa" w:w="2409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DLT expectations, quarantine counts</w:t>
            </w:r>
          </w:p>
        </w:tc>
        <w:tc>
          <w:tcPr>
            <w:tcW w:type="dxa" w:w="3997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Enforced from contract / manual / none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Retention by layer, WORM scope</w:t>
            </w:r>
          </w:p>
        </w:tc>
        <w:tc>
          <w:tcPr>
            <w:tcW w:type="dxa" w:w="2409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Lifecycle rules, immutability policy</w:t>
            </w:r>
          </w:p>
        </w:tc>
        <w:tc>
          <w:tcPr>
            <w:tcW w:type="dxa" w:w="3997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Active and tested / defined only / missing</w:t>
            </w:r>
          </w:p>
        </w:tc>
      </w:tr>
    </w:tbl>
    <w:p>
      <w:pPr>
        <w:pStyle w:val="BodyText"/>
      </w:pPr>
      <w:r>
        <w:rPr>
          <w:bCs/>
          <w:rFonts w:ascii="Arial" w:hAnsi="Arial" w:cs="Arial" w:eastAsia="Arial"/>
          <w:b/>
        </w:rPr>
        <w:t xml:space="preserve">Approach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Arial" w:hAnsi="Arial" w:cs="Arial" w:eastAsia="Arial"/>
          <w:b/>
        </w:rPr>
        <w:t xml:space="preserve">Weeks 1–3, inventory.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Catalogs, schemas, tables, Auto Loader jobs, ADLS containers and lifecycle rules across the ~201 workspaces. Treat the departed architect’s artifacts as undocumented until proven. Coordinate with Lovelytics so security domains are not assessed twice.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Arial" w:hAnsi="Arial" w:cs="Arial" w:eastAsia="Arial"/>
          <w:b/>
        </w:rPr>
        <w:t xml:space="preserve">Weeks 4–6, assess and score.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Run the eight-domain checklists. Test the PHI masking boundary with edge cases (schema evolution, late-arriving fields). Load-test Auto Loader at representative volume. Gap register v1 in Week 4, report in Week 6.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Arial" w:hAnsi="Arial" w:cs="Arial" w:eastAsia="Arial"/>
          <w:b/>
        </w:rPr>
        <w:t xml:space="preserve">Weeks 7–10, pilot (K8s/CRM or network security).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Build the pilot as a reference: ODCS contract, Bronze table with envelope, parameterized DLT pipeline with masking and expectations, one enrichment join, Gold output, concurrency and latency tests.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Arial" w:hAnsi="Arial" w:cs="Arial" w:eastAsia="Arial"/>
          <w:b/>
        </w:rPr>
        <w:t xml:space="preserve">Weeks 4–12, remediate and decide.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Must-fix items before the change freeze; take the Section 6 decisions; assemble the B–E handoff package.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Outputs: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assessment report with data-architecture domain, gap register, pilot evidence, remediation tracker, Day 1 / Day 2 architecture, handoff package. Dates in the kickoff deck: A.1 definition of done Dec 7, 2026; A.2 (90-day window) Jan 18, 2027.</w:t>
      </w:r>
    </w:p>
    <w:p>
      <w:pPr>
        <w:pStyle w:val="BodyText"/>
      </w:pPr>
      <w:r>
        <w:rPr>
          <w:bCs/>
          <w:rFonts w:ascii="Arial" w:hAnsi="Arial" w:cs="Arial" w:eastAsia="Arial"/>
          <w:b/>
        </w:rPr>
        <w:t xml:space="preserve">Exit gate: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B1, B2 and C can start from the handoff without rework, and the Section 6 decisions D1–D4 are closed.</w:t>
      </w:r>
    </w:p>
    <w:p>
      <w:r>
        <w:rPr>
          <w:rFonts w:ascii="Arial" w:hAnsi="Arial" w:cs="Arial" w:eastAsia="Arial"/>
        </w:rPr>
        <w:pict>
          <v:rect style="width:0;height:1.5pt" o:hralign="center" o:hrstd="t" o:hr="t"/>
        </w:pict>
      </w:r>
    </w:p>
    <w:bookmarkEnd w:id="21"/>
    <w:bookmarkStart w:id="22" w:name="X7b25dcbf48b06ed7e529e7bea55c2fa19763b6d"/>
    <w:p>
      <w:pPr>
        <w:pStyle w:val="Heading2"/>
      </w:pPr>
      <w:r>
        <w:rPr>
          <w:rFonts w:ascii="Arial" w:hAnsi="Arial" w:cs="Arial" w:eastAsia="Arial"/>
        </w:rPr>
        <w:t xml:space="preserve">3. Workstream B1: Data Contracts and Source Rationalization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Data-architecture objective: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turn 12,910 sourcetypes into ~250–300 governed source families whose contracts</w:t>
      </w:r>
      <w:r>
        <w:rPr>
          <w:rFonts w:ascii="Arial" w:hAnsi="Arial" w:cs="Arial" w:eastAsia="Arial"/>
        </w:rPr>
        <w:t xml:space="preserve"> </w:t>
      </w:r>
      <w:r>
        <w:rPr>
          <w:iCs/>
          <w:rFonts w:ascii="Arial" w:hAnsi="Arial" w:cs="Arial" w:eastAsia="Arial"/>
          <w:i/>
        </w:rPr>
        <w:t xml:space="preserve">are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the Bronze and Silver specifications.</w:t>
      </w:r>
    </w:p>
    <w:p>
      <w:pPr>
        <w:pStyle w:val="BodyText"/>
      </w:pPr>
      <w:r>
        <w:rPr>
          <w:bCs/>
          <w:rFonts w:ascii="Arial" w:hAnsi="Arial" w:cs="Arial" w:eastAsia="Arial"/>
          <w:b/>
        </w:rPr>
        <w:t xml:space="preserve">Approach (four-step funnel, factory model)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Arial" w:hAnsi="Arial" w:cs="Arial" w:eastAsia="Arial"/>
          <w:b/>
        </w:rPr>
        <w:t xml:space="preserve">Discover and group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(AI-assisted pattern recognition): 12,910 sourcetypes → ~250–300 families → 12 source-domain categories. Kubernetes (10,790 sourcetypes, 84%) collapses to ~40 families by promoting deployment, namespace, cluster and environment to columns.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Arial" w:hAnsi="Arial" w:cs="Arial" w:eastAsia="Arial"/>
          <w:b/>
        </w:rPr>
        <w:t xml:space="preserve">Classify and tier: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Tier 1 = ~126 production-validated families (145.4 TB/day, ~98% of volume), contracted in Weeks 1–10; Tiers 2 and 3 follow by Week 20.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Arial" w:hAnsi="Arial" w:cs="Arial" w:eastAsia="Arial"/>
          <w:b/>
        </w:rPr>
        <w:t xml:space="preserve">Disposition: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Retain &amp; Contract / Consolidate / Retire, informed by usage of dependent searches, dashboards and knowledge objects.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Arial" w:hAnsi="Arial" w:cs="Arial" w:eastAsia="Arial"/>
          <w:b/>
        </w:rPr>
        <w:t xml:space="preserve">Author and register: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AI pre-populates ODCS contracts; owner workshop; register in Unity Catalog.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Data-architecture checks the SME applies to every contract before release</w:t>
      </w:r>
    </w:p>
    <w:p>
      <w:pPr>
        <w:numPr>
          <w:ilvl w:val="0"/>
          <w:numId w:val="1003"/>
        </w:numPr>
        <w:pStyle w:val="Compact"/>
      </w:pPr>
      <w:r>
        <w:rPr>
          <w:rFonts w:ascii="Arial" w:hAnsi="Arial" w:cs="Arial" w:eastAsia="Arial"/>
        </w:rPr>
        <w:t xml:space="preserve">The contract names exactly one Bronze target table, partition keys and the canonical envelope columns (consistent with B2 §4.4).</w:t>
      </w:r>
    </w:p>
    <w:p>
      <w:pPr>
        <w:numPr>
          <w:ilvl w:val="0"/>
          <w:numId w:val="1003"/>
        </w:numPr>
        <w:pStyle w:val="Compact"/>
      </w:pPr>
      <w:r>
        <w:rPr>
          <w:rFonts w:ascii="Arial" w:hAnsi="Arial" w:cs="Arial" w:eastAsia="Arial"/>
        </w:rPr>
        <w:t xml:space="preserve">Family-specific extension columns follow the B2 patterns (Event Hub, Pub/Sub, network multi-vendor, K8s collapse).</w:t>
      </w:r>
    </w:p>
    <w:p>
      <w:pPr>
        <w:numPr>
          <w:ilvl w:val="0"/>
          <w:numId w:val="1003"/>
        </w:numPr>
        <w:pStyle w:val="Compact"/>
      </w:pPr>
      <w:r>
        <w:rPr>
          <w:rFonts w:ascii="Arial" w:hAnsi="Arial" w:cs="Arial" w:eastAsia="Arial"/>
        </w:rPr>
        <w:t xml:space="preserve">Classification is the highest across consuming platform domains (Core, ES, ITSI); masking layer is stated explicitly (see D1).</w:t>
      </w:r>
    </w:p>
    <w:p>
      <w:pPr>
        <w:numPr>
          <w:ilvl w:val="0"/>
          <w:numId w:val="1003"/>
        </w:numPr>
        <w:pStyle w:val="Compact"/>
      </w:pPr>
      <w:r>
        <w:rPr>
          <w:rFonts w:ascii="Arial" w:hAnsi="Arial" w:cs="Arial" w:eastAsia="Arial"/>
        </w:rPr>
        <w:t xml:space="preserve">Downstream Silver tables, Tier 1/2 normalization (OCSF vs governed native) and tier (hot/warm/cold) are declared so C does not re-derive them.</w:t>
      </w:r>
    </w:p>
    <w:p>
      <w:pPr>
        <w:numPr>
          <w:ilvl w:val="0"/>
          <w:numId w:val="1003"/>
        </w:numPr>
        <w:pStyle w:val="Compact"/>
      </w:pPr>
      <w:r>
        <w:rPr>
          <w:rFonts w:ascii="Arial" w:hAnsi="Arial" w:cs="Arial" w:eastAsia="Arial"/>
        </w:rPr>
        <w:t xml:space="preserve">Retention by layer (contract example: Bronze 13 months, Silver 13 months, 7-year WORM archive) matches storage lifecycle design.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Constraint to state openly: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KPMG authoring capacity (15–20 contracts per sprint) is not the bottleneck; CVS data-owner availability is. Ownership is concentrated (top 25 owners hold &gt;90% of data), so domain-grouped workshops are the lever.</w:t>
      </w:r>
    </w:p>
    <w:p>
      <w:pPr>
        <w:pStyle w:val="BodyText"/>
      </w:pPr>
      <w:r>
        <w:rPr>
          <w:bCs/>
          <w:rFonts w:ascii="Arial" w:hAnsi="Arial" w:cs="Arial" w:eastAsia="Arial"/>
          <w:b/>
        </w:rPr>
        <w:t xml:space="preserve">Outputs: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source inventory and taxonomy, contract template and standards, completed contracts, classification and security boundary matrix, Unity Catalog registration standards, BAU handoff.</w:t>
      </w:r>
      <w:r>
        <w:rPr>
          <w:rFonts w:ascii="Arial" w:hAnsi="Arial" w:cs="Arial" w:eastAsia="Arial"/>
        </w:rPr>
        <w:t xml:space="preserve"> </w:t>
      </w:r>
      <w:r>
        <w:rPr>
          <w:bCs/>
          <w:rFonts w:ascii="Arial" w:hAnsi="Arial" w:cs="Arial" w:eastAsia="Arial"/>
          <w:b/>
        </w:rPr>
        <w:t xml:space="preserve">Exit gate: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all Tier 1 contracts registered by Week 10 (pre-freeze checkpoint).</w:t>
      </w:r>
    </w:p>
    <w:p>
      <w:r>
        <w:rPr>
          <w:rFonts w:ascii="Arial" w:hAnsi="Arial" w:cs="Arial" w:eastAsia="Arial"/>
        </w:rPr>
        <w:pict>
          <v:rect style="width:0;height:1.5pt" o:hralign="center" o:hrstd="t" o:hr="t"/>
        </w:pict>
      </w:r>
    </w:p>
    <w:bookmarkEnd w:id="22"/>
    <w:bookmarkStart w:id="23" w:name="workstream-b2-bronze-data-landing"/>
    <w:p>
      <w:pPr>
        <w:pStyle w:val="Heading2"/>
      </w:pPr>
      <w:r>
        <w:rPr>
          <w:rFonts w:ascii="Arial" w:hAnsi="Arial" w:cs="Arial" w:eastAsia="Arial"/>
        </w:rPr>
        <w:t xml:space="preserve">4. Workstream B2: Bronze Data Landing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Data-architecture objective: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every ingestion workflow lands reliably in governed Bronze Delta tables within the 5-minute SLA, with the design KPMG validates (SciCom executes Cribl and infrastructure).</w:t>
      </w:r>
    </w:p>
    <w:p>
      <w:pPr>
        <w:pStyle w:val="BodyText"/>
      </w:pPr>
      <w:r>
        <w:rPr>
          <w:bCs/>
          <w:rFonts w:ascii="Arial" w:hAnsi="Arial" w:cs="Arial" w:eastAsia="Arial"/>
          <w:b/>
        </w:rPr>
        <w:t xml:space="preserve">Approach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Arial" w:hAnsi="Arial" w:cs="Arial" w:eastAsia="Arial"/>
          <w:b/>
        </w:rPr>
        <w:t xml:space="preserve">Design Bronze (Data Architecture + Medallion).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Consolidate 925 indexes → 126 families → ~25–50 Bronze tables using the four patterns; canonical envelope on every table; partition by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event_date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with a secondary dimension per table type.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Arial" w:hAnsi="Arial" w:cs="Arial" w:eastAsia="Arial"/>
          <w:b/>
        </w:rPr>
        <w:t xml:space="preserve">Fix the storage contract (Storage).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Landing paths by Bronze product,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Product/Year/Month/Day/Hour</w:t>
      </w:r>
      <w:r>
        <w:rPr>
          <w:rFonts w:ascii="Arial" w:hAnsi="Arial" w:cs="Arial" w:eastAsia="Arial"/>
        </w:rPr>
        <w:t xml:space="preserve">, JSON or Parquet, 128–512 MB files, CMK encryption, lifecycle and optional WORM; deterministic path → table mapping.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Arial" w:hAnsi="Arial" w:cs="Arial" w:eastAsia="Arial"/>
          <w:b/>
        </w:rPr>
        <w:t xml:space="preserve">Configure ingestion (Ingestion).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Auto Loader in file-notification mode via Event Grid, managed checkpoints, additive schema evolution with rescued-data column, malformed files to quarantine; streaming for Tier 1, 15-minute micro-batch for Tier 2, daily batch for Tier 3 (60–70% compute saving).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Arial" w:hAnsi="Arial" w:cs="Arial" w:eastAsia="Arial"/>
          <w:b/>
        </w:rPr>
        <w:t xml:space="preserve">Validate each workflow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with the five-step sequence (connectivity, sample, schema, throughput, 24-hour SLA), including persistent-queue sizing per data center (Shea &lt;1 hour is the known high risk) and the NiFi disposition and PHI chain-of-custody assessment.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Arial" w:hAnsi="Arial" w:cs="Arial" w:eastAsia="Arial"/>
          <w:b/>
        </w:rPr>
        <w:t xml:space="preserve">Test throughput: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smoke, ramp, production parity, 150% burst, failure recovery; measure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ingest_timestamp − source_timestamp</w:t>
      </w:r>
      <w:r>
        <w:rPr>
          <w:rFonts w:ascii="Arial" w:hAnsi="Arial" w:cs="Arial" w:eastAsia="Arial"/>
        </w:rP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Arial" w:hAnsi="Arial" w:cs="Arial" w:eastAsia="Arial"/>
          <w:b/>
        </w:rPr>
        <w:t xml:space="preserve">Gate activation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with the readiness scorecard (connectivity, throughput, data quality, governance, monitoring): all Green, Yellow only with risk acceptance, any Red blocks.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Outputs: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Bronze design, routing matrix, Autoloader/Event Grid evidence, table and partition design, throughput and SLA report, pre-freeze readiness checkpoint.</w:t>
      </w:r>
      <w:r>
        <w:rPr>
          <w:rFonts w:ascii="Arial" w:hAnsi="Arial" w:cs="Arial" w:eastAsia="Arial"/>
        </w:rPr>
        <w:t xml:space="preserve"> </w:t>
      </w:r>
      <w:r>
        <w:rPr>
          <w:bCs/>
          <w:rFonts w:ascii="Arial" w:hAnsi="Arial" w:cs="Arial" w:eastAsia="Arial"/>
          <w:b/>
        </w:rPr>
        <w:t xml:space="preserve">Exit gate: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Tier 1 sources flowing with scorecard Green before the freeze; C can read populated Bronze.</w:t>
      </w:r>
    </w:p>
    <w:p>
      <w:r>
        <w:rPr>
          <w:rFonts w:ascii="Arial" w:hAnsi="Arial" w:cs="Arial" w:eastAsia="Arial"/>
        </w:rPr>
        <w:pict>
          <v:rect style="width:0;height:1.5pt" o:hralign="center" o:hrstd="t" o:hr="t"/>
        </w:pict>
      </w:r>
    </w:p>
    <w:bookmarkEnd w:id="23"/>
    <w:bookmarkStart w:id="24" w:name="X3ed8c6ca2db340d60b8ed8f85b97104763abb5b"/>
    <w:p>
      <w:pPr>
        <w:pStyle w:val="Heading2"/>
      </w:pPr>
      <w:r>
        <w:rPr>
          <w:rFonts w:ascii="Arial" w:hAnsi="Arial" w:cs="Arial" w:eastAsia="Arial"/>
        </w:rPr>
        <w:t xml:space="preserve">5. Workstream C: Data Architecture and Pipeline Enablement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Data-architecture objective: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deliver the canonical model, template-driven Silver, governed data products and Gold self-service.</w:t>
      </w:r>
    </w:p>
    <w:p>
      <w:pPr>
        <w:pStyle w:val="BodyText"/>
      </w:pPr>
      <w:r>
        <w:rPr>
          <w:bCs/>
          <w:rFonts w:ascii="Arial" w:hAnsi="Arial" w:cs="Arial" w:eastAsia="Arial"/>
          <w:b/>
        </w:rPr>
        <w:t xml:space="preserve">Approach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Arial" w:hAnsi="Arial" w:cs="Arial" w:eastAsia="Arial"/>
          <w:b/>
        </w:rPr>
        <w:t xml:space="preserve">Canonical model (Weeks 1–3).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Three tiers: Tier 1 OCSF/ECS for security data needing cross-domain detection; Tier 2 governed native schema for observability data; Tier 3 common metadata envelope on all tables. Document source → model → ontology mapping (answers the Jul 28 request).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Arial" w:hAnsi="Arial" w:cs="Arial" w:eastAsia="Arial"/>
          <w:b/>
        </w:rPr>
        <w:t xml:space="preserve">Conformed dimensions first.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Specify the 15 dimensions (SCD Type 2 for application, asset, business service, configuration item, business unit, cloud resources). Silver enrichment depends on CMDB-quality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dim_asset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and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dim_application</w:t>
      </w:r>
      <w:r>
        <w:rPr>
          <w:rFonts w:ascii="Arial" w:hAnsi="Arial" w:cs="Arial" w:eastAsia="Arial"/>
        </w:rPr>
        <w:t xml:space="preserve">, so these land before most domain pipelines.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Arial" w:hAnsi="Arial" w:cs="Arial" w:eastAsia="Arial"/>
          <w:b/>
        </w:rPr>
        <w:t xml:space="preserve">Template library (Weeks 4–10).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18–22 parameterized DLT templates across eight categories, seeded by the A pilot. Each template: validate schema → parse → normalize → enrich → mask → de-duplicate → quality expectations. Tier hot/warm/cold from the contract SLA.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Arial" w:hAnsi="Arial" w:cs="Arial" w:eastAsia="Arial"/>
          <w:b/>
        </w:rPr>
        <w:t xml:space="preserve">Silver domains (Weeks 7–18).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Nine domains over four pods; many instantiations (240–320) converge on fewer physical tables (68–150). Engagement capacity supports ~350–400 priority pipelines of ~1,000 total.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Arial" w:hAnsi="Arial" w:cs="Arial" w:eastAsia="Arial"/>
          <w:b/>
        </w:rPr>
        <w:t xml:space="preserve">Governance.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Bronze Restricted → Silver Internal via regex, NER and tokenization masking; Unity Catalog tags, row filters, column masks; HIPAA evidence (access, masking, classification, lineage, retention).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Arial" w:hAnsi="Arial" w:cs="Arial" w:eastAsia="Arial"/>
          <w:b/>
        </w:rPr>
        <w:t xml:space="preserve">Data products and Gold (Weeks 11–22).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Promote Silver tables with a named consumer, product owner, published SLOs and &gt;99% expectation pass rate; 12 Gold products; Genie semantic models; team-owned Gold workspaces that read Silver, never Bronze.</w:t>
      </w:r>
    </w:p>
    <w:p>
      <w:pPr>
        <w:pStyle w:val="FirstParagraph"/>
      </w:pPr>
      <w:r>
        <w:rPr>
          <w:bCs/>
          <w:rFonts w:ascii="Arial" w:hAnsi="Arial" w:cs="Arial" w:eastAsia="Arial"/>
          <w:b/>
        </w:rPr>
        <w:t xml:space="preserve">Outputs: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canonical model and mapping, template library, pipeline inventory, Silver data model and product catalog, conformed dimensions, UC governance configuration, Gold workspace design, runbooks.</w:t>
      </w:r>
      <w:r>
        <w:rPr>
          <w:rFonts w:ascii="Arial" w:hAnsi="Arial" w:cs="Arial" w:eastAsia="Arial"/>
        </w:rPr>
        <w:t xml:space="preserve"> </w:t>
      </w:r>
      <w:r>
        <w:rPr>
          <w:bCs/>
          <w:rFonts w:ascii="Arial" w:hAnsi="Arial" w:cs="Arial" w:eastAsia="Arial"/>
          <w:b/>
        </w:rPr>
        <w:t xml:space="preserve">Exit gate: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Silver CIM-domain tables queryable for D; Gold workspaces ready for E’s adoption waves.</w:t>
      </w:r>
    </w:p>
    <w:p>
      <w:r>
        <w:rPr>
          <w:rFonts w:ascii="Arial" w:hAnsi="Arial" w:cs="Arial" w:eastAsia="Arial"/>
        </w:rPr>
        <w:pict>
          <v:rect style="width:0;height:1.5pt" o:hralign="center" o:hrstd="t" o:hr="t"/>
        </w:pict>
      </w:r>
    </w:p>
    <w:bookmarkEnd w:id="24"/>
    <w:bookmarkStart w:id="25" w:name="X6109329aa2541369363a4433c5f909fd74e86d0"/>
    <w:p>
      <w:pPr>
        <w:pStyle w:val="Heading2"/>
      </w:pPr>
      <w:r>
        <w:rPr>
          <w:rFonts w:ascii="Arial" w:hAnsi="Arial" w:cs="Arial" w:eastAsia="Arial"/>
        </w:rPr>
        <w:t xml:space="preserve">6. Decisions and conflicts the SME needs to rule on</w:t>
      </w:r>
    </w:p>
    <w:tbl>
      <w:tblPr>
        <w:tblStyle w:val="Table"/>
        <w:tblW w:type="dxa" w:w="9648"/>
        <w:tblLook w:firstRow="1" w:lastRow="0" w:firstColumn="0" w:lastColumn="0" w:noHBand="0" w:noVBand="0" w:val="0020"/>
        <w:jc w:val="start"/>
        <w:tblBorders>
          <w:top w:val="single" w:sz="4" w:space="0" w:color="BFC9DD"/>
          <w:left w:val="single" w:sz="4" w:space="0" w:color="BFC9DD"/>
          <w:bottom w:val="single" w:sz="4" w:space="0" w:color="BFC9DD"/>
          <w:right w:val="single" w:sz="4" w:space="0" w:color="BFC9DD"/>
          <w:insideH w:val="single" w:sz="4" w:space="0" w:color="BFC9DD"/>
          <w:insideV w:val="single" w:sz="4" w:space="0" w:color="BFC9DD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04"/>
        <w:gridCol w:w="4320"/>
        <w:gridCol w:w="1944"/>
        <w:gridCol w:w="2880"/>
      </w:tblGrid>
      <w:tr>
        <w:trPr>
          <w:tblHeader w:val="true"/>
          <w:cantSplit/>
          <w:tblHeader/>
        </w:trPr>
        <w:tc>
          <w:tcPr>
            <w:tcW w:type="dxa" w:w="504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#</w:t>
            </w:r>
          </w:p>
        </w:tc>
        <w:tc>
          <w:tcPr>
            <w:tcW w:type="dxa" w:w="4320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Issue</w:t>
            </w:r>
          </w:p>
        </w:tc>
        <w:tc>
          <w:tcPr>
            <w:tcW w:type="dxa" w:w="1944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Where it conflicts</w:t>
            </w:r>
          </w:p>
        </w:tc>
        <w:tc>
          <w:tcPr>
            <w:tcW w:type="dxa" w:w="2880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Recommended ruling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D1</w:t>
            </w:r>
          </w:p>
        </w:tc>
        <w:tc>
          <w:tcPr>
            <w:tcW w:type="dxa" w:w="432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Where PHI/PII is masked and what Bronze contains.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Walkthrough §5 says masking happens at Cribl before the lake, yet §6/§11 treat Bronze as Restricted with unmasked PHI. B1 contract example sets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cribl_guard_pre_ingestion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(Jul 31). C masks in DLT at Silver.</w:t>
            </w:r>
          </w:p>
        </w:tc>
        <w:tc>
          <w:tcPr>
            <w:tcW w:type="dxa" w:w="194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Walkthrough §5/§6, B1 §3.2, C §5.1</w:t>
            </w:r>
          </w:p>
        </w:tc>
        <w:tc>
          <w:tcPr>
            <w:tcW w:type="dxa" w:w="288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Defense in depth: Cribl Guard for known fields, DLT masking at Silver, Bronze stays Restricted until masking is proven by the OI-006 test. Tie to OI-002 (NiFi vs Cribl).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D2</w:t>
            </w:r>
          </w:p>
        </w:tc>
        <w:tc>
          <w:tcPr>
            <w:tcW w:type="dxa" w:w="432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Catalog structure.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Walkthrough proposes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observability_prod</w:t>
            </w:r>
            <w:r>
              <w:rPr>
                <w:rFonts w:ascii="Arial" w:hAnsi="Arial"/>
                <w:color w:val="262626"/>
                <w:sz w:val="17"/>
              </w:rPr>
              <w:t xml:space="preserve">,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security_prod</w:t>
            </w:r>
            <w:r>
              <w:rPr>
                <w:rFonts w:ascii="Arial" w:hAnsi="Arial"/>
                <w:color w:val="262626"/>
                <w:sz w:val="17"/>
              </w:rPr>
              <w:t xml:space="preserve">,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shared_enrichment</w:t>
            </w:r>
            <w:r>
              <w:rPr>
                <w:rFonts w:ascii="Arial" w:hAnsi="Arial"/>
                <w:color w:val="262626"/>
                <w:sz w:val="17"/>
              </w:rPr>
              <w:t xml:space="preserve">,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workspaces_user</w:t>
            </w:r>
            <w:r>
              <w:rPr>
                <w:rFonts w:ascii="Arial" w:hAnsi="Arial"/>
                <w:color w:val="262626"/>
                <w:sz w:val="17"/>
              </w:rPr>
              <w:t xml:space="preserve">; C says one catalog per data domain (~8–12).</w:t>
            </w:r>
          </w:p>
        </w:tc>
        <w:tc>
          <w:tcPr>
            <w:tcW w:type="dxa" w:w="194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Walkthrough §11, C §5.2</w:t>
            </w:r>
          </w:p>
        </w:tc>
        <w:tc>
          <w:tcPr>
            <w:tcW w:type="dxa" w:w="288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 decides in A3 and hands B1 the namespace; consider domain × environment with a shared enrichment catalog.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D3</w:t>
            </w:r>
          </w:p>
        </w:tc>
        <w:tc>
          <w:tcPr>
            <w:tcW w:type="dxa" w:w="432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Table counts.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Bronze: ~25 (walkthrough, B1) vs 25–50 (B2) vs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“</w:t>
            </w:r>
            <w:r>
              <w:rPr>
                <w:rFonts w:ascii="Arial" w:hAnsi="Arial"/>
                <w:color w:val="262626"/>
                <w:sz w:val="17"/>
              </w:rPr>
              <w:t xml:space="preserve">26-50</w:t>
            </w:r>
            <w:r>
              <w:rPr>
                <w:rFonts w:ascii="Arial" w:hAnsi="Arial"/>
                <w:color w:val="262626"/>
                <w:sz w:val="17"/>
              </w:rPr>
              <w:t xml:space="preserve">”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(kickoff). Silver: 20–30 (walkthrough) vs 68–150 physical / 240–320 instantiations (C).</w:t>
            </w:r>
          </w:p>
        </w:tc>
        <w:tc>
          <w:tcPr>
            <w:tcW w:type="dxa" w:w="194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Several</w:t>
            </w:r>
          </w:p>
        </w:tc>
        <w:tc>
          <w:tcPr>
            <w:tcW w:type="dxa" w:w="288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Use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“</w:t>
            </w:r>
            <w:r>
              <w:rPr>
                <w:rFonts w:ascii="Arial" w:hAnsi="Arial"/>
                <w:color w:val="262626"/>
                <w:sz w:val="17"/>
              </w:rPr>
              <w:t xml:space="preserve">~25–50 Bronze</w:t>
            </w:r>
            <w:r>
              <w:rPr>
                <w:rFonts w:ascii="Arial" w:hAnsi="Arial"/>
                <w:color w:val="262626"/>
                <w:sz w:val="17"/>
              </w:rPr>
              <w:t xml:space="preserve">”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and C’s reconciliation (instantiations → physical tables → 9 domains → 12 Gold); get CVS architecture-lead sign-off.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D4</w:t>
            </w:r>
          </w:p>
        </w:tc>
        <w:tc>
          <w:tcPr>
            <w:tcW w:type="dxa" w:w="432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Workflow numbering.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Walkthrough: WF1 = data center primary path. B2: WF1 = Tanium via Akamai, WF2 = data center via NiFi. SAIPA documents: WF1 DC, WF2 multi-cloud, WF3 Tanium.</w:t>
            </w:r>
          </w:p>
        </w:tc>
        <w:tc>
          <w:tcPr>
            <w:tcW w:type="dxa" w:w="194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Walkthrough §5, B2 §3, Appendix B</w:t>
            </w:r>
          </w:p>
        </w:tc>
        <w:tc>
          <w:tcPr>
            <w:tcW w:type="dxa" w:w="288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Publish one workflow registry before any test evidence is filed.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D5</w:t>
            </w:r>
          </w:p>
        </w:tc>
        <w:tc>
          <w:tcPr>
            <w:tcW w:type="dxa" w:w="432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Bronze table naming.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bronze.network_syslog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(B1 contract, B2 Pattern 3) vs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bronze.enterprise_network_security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(B2 path map).</w:t>
            </w:r>
          </w:p>
        </w:tc>
        <w:tc>
          <w:tcPr>
            <w:tcW w:type="dxa" w:w="194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B1, B2</w:t>
            </w:r>
          </w:p>
        </w:tc>
        <w:tc>
          <w:tcPr>
            <w:tcW w:type="dxa" w:w="288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Pick one; the path-to-table map should be the source of truth.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D6</w:t>
            </w:r>
          </w:p>
        </w:tc>
        <w:tc>
          <w:tcPr>
            <w:tcW w:type="dxa" w:w="432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Latency SLA.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99.9% in 5 minutes (B2), OI-003 asks &lt;30 s vs 5 min, diagram note says &lt;10 s, Event Grid green threshold &lt;30 s (A).</w:t>
            </w:r>
          </w:p>
        </w:tc>
        <w:tc>
          <w:tcPr>
            <w:tcW w:type="dxa" w:w="194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Walkthrough, A, B2</w:t>
            </w:r>
          </w:p>
        </w:tc>
        <w:tc>
          <w:tcPr>
            <w:tcW w:type="dxa" w:w="288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Define the clock (source to Bronze write) per tier; keep 5 minutes for hot as the contractual SLA.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D7</w:t>
            </w:r>
          </w:p>
        </w:tc>
        <w:tc>
          <w:tcPr>
            <w:tcW w:type="dxa" w:w="432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Freeze date.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B1/B2 say November freeze; kickoff says December 1 change freeze.</w:t>
            </w:r>
          </w:p>
        </w:tc>
        <w:tc>
          <w:tcPr>
            <w:tcW w:type="dxa" w:w="194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B1/B2 vs kickoff</w:t>
            </w:r>
          </w:p>
        </w:tc>
        <w:tc>
          <w:tcPr>
            <w:tcW w:type="dxa" w:w="288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Confirm with CVS PMO.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D8</w:t>
            </w:r>
          </w:p>
        </w:tc>
        <w:tc>
          <w:tcPr>
            <w:tcW w:type="dxa" w:w="432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Chronicle path.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Chronicle (~104 TB/day) may bypass Cribl.</w:t>
            </w:r>
          </w:p>
        </w:tc>
        <w:tc>
          <w:tcPr>
            <w:tcW w:type="dxa" w:w="1944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B2 §6.1</w:t>
            </w:r>
          </w:p>
        </w:tc>
        <w:tc>
          <w:tcPr>
            <w:tcW w:type="dxa" w:w="2880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Decide in A whether a separate ingestion validation track is needed.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D9</w:t>
            </w:r>
          </w:p>
        </w:tc>
        <w:tc>
          <w:tcPr>
            <w:tcW w:type="dxa" w:w="432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bCs/>
                <w:rFonts w:ascii="Arial" w:hAnsi="Arial"/>
                <w:b/>
                <w:color w:val="262626"/>
                <w:sz w:val="17"/>
              </w:rPr>
              <w:t xml:space="preserve">Document currency.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The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.md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methodologies for B1 and C are newer than the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_DRAFT.docx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copies (the docx lacks the Cribl Guard confirmation and C’s table-count reconciliation).</w:t>
            </w:r>
          </w:p>
        </w:tc>
        <w:tc>
          <w:tcPr>
            <w:tcW w:type="dxa" w:w="1944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CVS folder</w:t>
            </w:r>
          </w:p>
        </w:tc>
        <w:tc>
          <w:tcPr>
            <w:tcW w:type="dxa" w:w="2880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Regenerate the docx files from the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color w:val="262626"/>
                <w:sz w:val="17"/>
              </w:rPr>
              <w:t xml:space="preserve">.md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before circulating.</w:t>
            </w:r>
          </w:p>
        </w:tc>
      </w:tr>
    </w:tbl>
    <w:p>
      <w:r>
        <w:rPr>
          <w:rFonts w:ascii="Arial" w:hAnsi="Arial" w:cs="Arial" w:eastAsia="Arial"/>
        </w:rPr>
        <w:pict>
          <v:rect style="width:0;height:1.5pt" o:hralign="center" o:hrstd="t" o:hr="t"/>
        </w:pict>
      </w:r>
    </w:p>
    <w:bookmarkEnd w:id="25"/>
    <w:bookmarkStart w:id="26" w:name="X9151b73dffd760dc45958cf7d9ddce04b82d442"/>
    <w:p>
      <w:pPr>
        <w:pStyle w:val="Heading2"/>
      </w:pPr>
      <w:r>
        <w:rPr>
          <w:rFonts w:ascii="Arial" w:hAnsi="Arial" w:cs="Arial" w:eastAsia="Arial"/>
        </w:rPr>
        <w:t xml:space="preserve">7. SME changes made to the primer (A_DB Architecture Assessment Primer)</w:t>
      </w:r>
    </w:p>
    <w:p>
      <w:pPr>
        <w:pStyle w:val="FirstParagraph"/>
      </w:pPr>
      <w:r>
        <w:rPr>
          <w:rFonts w:ascii="Arial" w:hAnsi="Arial" w:cs="Arial" w:eastAsia="Arial"/>
        </w:rPr>
        <w:t xml:space="preserve">File: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A_DB Architecture Assessment Primer - SME Refined.pptx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(original left untouched).</w:t>
      </w:r>
    </w:p>
    <w:tbl>
      <w:tblPr>
        <w:tblStyle w:val="Table"/>
        <w:tblW w:type="dxa" w:w="9648"/>
        <w:tblLook w:firstRow="1" w:lastRow="0" w:firstColumn="0" w:lastColumn="0" w:noHBand="0" w:noVBand="0" w:val="0020"/>
        <w:jc w:val="start"/>
        <w:tblBorders>
          <w:top w:val="single" w:sz="4" w:space="0" w:color="BFC9DD"/>
          <w:left w:val="single" w:sz="4" w:space="0" w:color="BFC9DD"/>
          <w:bottom w:val="single" w:sz="4" w:space="0" w:color="BFC9DD"/>
          <w:right w:val="single" w:sz="4" w:space="0" w:color="BFC9DD"/>
          <w:insideH w:val="single" w:sz="4" w:space="0" w:color="BFC9DD"/>
          <w:insideV w:val="single" w:sz="4" w:space="0" w:color="BFC9DD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263"/>
        <w:gridCol w:w="4792"/>
        <w:gridCol w:w="3592"/>
      </w:tblGrid>
      <w:tr>
        <w:trPr>
          <w:tblHeader w:val="true"/>
          <w:cantSplit/>
          <w:tblHeader/>
        </w:trPr>
        <w:tc>
          <w:tcPr>
            <w:tcW w:type="dxa" w:w="1263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Slide</w:t>
            </w:r>
          </w:p>
        </w:tc>
        <w:tc>
          <w:tcPr>
            <w:tcW w:type="dxa" w:w="4792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Change</w:t>
            </w:r>
          </w:p>
        </w:tc>
        <w:tc>
          <w:tcPr>
            <w:tcW w:type="dxa" w:w="3592"/>
            <w:shd w:val="clear" w:color="auto" w:fill="00338D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263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2 Data Foundation</w:t>
            </w:r>
          </w:p>
        </w:tc>
        <w:tc>
          <w:tcPr>
            <w:tcW w:type="dxa" w:w="479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Rebuilt all four quadrants; widened right-hand boxes into unused slide space; real bullets; explicit heading formatting</w:t>
            </w:r>
          </w:p>
        </w:tc>
        <w:tc>
          <w:tcPr>
            <w:tcW w:type="dxa" w:w="359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The original used only the left two-thirds of the slide and left Medallion nearly empty</w:t>
            </w:r>
          </w:p>
        </w:tc>
      </w:tr>
      <w:tr>
        <w:trPr>
          <w:cantSplit/>
        </w:trPr>
        <w:tc>
          <w:tcPr>
            <w:tcW w:type="dxa" w:w="1263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2 Data Architecture</w:t>
            </w:r>
          </w:p>
        </w:tc>
        <w:tc>
          <w:tcPr>
            <w:tcW w:type="dxa" w:w="479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Single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“</w:t>
            </w:r>
            <w:r>
              <w:rPr>
                <w:rFonts w:ascii="Arial" w:hAnsi="Arial"/>
                <w:color w:val="262626"/>
                <w:sz w:val="17"/>
              </w:rPr>
              <w:t xml:space="preserve">canonical data model</w:t>
            </w:r>
            <w:r>
              <w:rPr>
                <w:rFonts w:ascii="Arial" w:hAnsi="Arial"/>
                <w:color w:val="262626"/>
                <w:sz w:val="17"/>
              </w:rPr>
              <w:t xml:space="preserve">”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bullet became a tiered model (OCSF/ECS, governed native, common envelope); added conformed dimensions, source → model → ontology, ODCS contract fields, product SLOs and promotion criteria</w:t>
            </w:r>
          </w:p>
        </w:tc>
        <w:tc>
          <w:tcPr>
            <w:tcW w:type="dxa" w:w="359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OCSF is security-only (Robinson, Jun 25), so one canonical model does not fit observability</w:t>
            </w:r>
          </w:p>
        </w:tc>
      </w:tr>
      <w:tr>
        <w:trPr>
          <w:cantSplit/>
        </w:trPr>
        <w:tc>
          <w:tcPr>
            <w:tcW w:type="dxa" w:w="1263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2 Ingestion</w:t>
            </w:r>
          </w:p>
        </w:tc>
        <w:tc>
          <w:tcPr>
            <w:tcW w:type="dxa" w:w="479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Added Event Grid file notification, latency tiers, idempotency, late-arriving data, schema evolution with rescued-data column, quarantine, and Cribl upstream</w:t>
            </w:r>
          </w:p>
        </w:tc>
        <w:tc>
          <w:tcPr>
            <w:tcW w:type="dxa" w:w="359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These are the failure modes at scale; ADF alone does not describe telemetry ingestion</w:t>
            </w:r>
          </w:p>
        </w:tc>
      </w:tr>
      <w:tr>
        <w:trPr>
          <w:cantSplit/>
        </w:trPr>
        <w:tc>
          <w:tcPr>
            <w:tcW w:type="dxa" w:w="1263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2 Storage</w:t>
            </w:r>
          </w:p>
        </w:tc>
        <w:tc>
          <w:tcPr>
            <w:tcW w:type="dxa" w:w="479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Landing zone now Incoming / Validated / Quarantine; folders by product not source index; added ADLS Access (missing from slide 2 but on slide 1); file-size target; cold-copy caveat on Archive tier</w:t>
            </w:r>
          </w:p>
        </w:tc>
        <w:tc>
          <w:tcPr>
            <w:tcW w:type="dxa" w:w="359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Archive-tier blobs cannot be read by Delta without rehydration, so lifecycle tiering must not touch active tables</w:t>
            </w:r>
          </w:p>
        </w:tc>
      </w:tr>
      <w:tr>
        <w:trPr>
          <w:cantSplit/>
        </w:trPr>
        <w:tc>
          <w:tcPr>
            <w:tcW w:type="dxa" w:w="1263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2 Medallion</w:t>
            </w:r>
          </w:p>
        </w:tc>
        <w:tc>
          <w:tcPr>
            <w:tcW w:type="dxa" w:w="479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Added the three layers’ contracts of responsibility, classification per layer, Gold guardrail (no Bronze access), and a Delta Lake row</w:t>
            </w:r>
          </w:p>
        </w:tc>
        <w:tc>
          <w:tcPr>
            <w:tcW w:type="dxa" w:w="359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Slide 1 listed Delta Lake but slide 2 omitted it</w:t>
            </w:r>
          </w:p>
        </w:tc>
      </w:tr>
      <w:tr>
        <w:trPr>
          <w:cantSplit/>
        </w:trPr>
        <w:tc>
          <w:tcPr>
            <w:tcW w:type="dxa" w:w="1263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1</w:t>
            </w:r>
          </w:p>
        </w:tc>
        <w:tc>
          <w:tcPr>
            <w:tcW w:type="dxa" w:w="479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Removed stray periods (</w:t>
            </w:r>
            <w:r>
              <w:rPr>
                <w:rFonts w:ascii="Arial" w:hAnsi="Arial"/>
                <w:color w:val="262626"/>
                <w:sz w:val="17"/>
              </w:rPr>
              <w:t xml:space="preserve">“</w:t>
            </w:r>
            <w:r>
              <w:rPr>
                <w:rFonts w:ascii="Arial" w:hAnsi="Arial"/>
                <w:color w:val="262626"/>
                <w:sz w:val="17"/>
              </w:rPr>
              <w:t xml:space="preserve">Delta Lake.</w:t>
            </w:r>
            <w:r>
              <w:rPr>
                <w:rFonts w:ascii="Arial" w:hAnsi="Arial"/>
                <w:color w:val="262626"/>
                <w:sz w:val="17"/>
              </w:rPr>
              <w:t xml:space="preserve">”</w:t>
            </w:r>
            <w:r>
              <w:rPr>
                <w:rFonts w:ascii="Arial" w:hAnsi="Arial"/>
                <w:color w:val="262626"/>
                <w:sz w:val="17"/>
              </w:rPr>
              <w:t xml:space="preserve">,</w:t>
            </w:r>
            <w:r>
              <w:rPr>
                <w:rFonts w:ascii="Arial" w:hAnsi="Arial"/>
                <w:color w:val="262626"/>
                <w:sz w:val="17"/>
              </w:rPr>
              <w:t xml:space="preserve"> </w:t>
            </w:r>
            <w:r>
              <w:rPr>
                <w:rFonts w:ascii="Arial" w:hAnsi="Arial"/>
                <w:color w:val="262626"/>
                <w:sz w:val="17"/>
              </w:rPr>
              <w:t xml:space="preserve">“</w:t>
            </w:r>
            <w:r>
              <w:rPr>
                <w:rFonts w:ascii="Arial" w:hAnsi="Arial"/>
                <w:color w:val="262626"/>
                <w:sz w:val="17"/>
              </w:rPr>
              <w:t xml:space="preserve">Processing Controls.</w:t>
            </w:r>
            <w:r>
              <w:rPr>
                <w:rFonts w:ascii="Arial" w:hAnsi="Arial"/>
                <w:color w:val="262626"/>
                <w:sz w:val="17"/>
              </w:rPr>
              <w:t xml:space="preserve">”</w:t>
            </w:r>
            <w:r>
              <w:rPr>
                <w:rFonts w:ascii="Arial" w:hAnsi="Arial"/>
                <w:color w:val="262626"/>
                <w:sz w:val="17"/>
              </w:rPr>
              <w:t xml:space="preserve">)</w:t>
            </w:r>
          </w:p>
        </w:tc>
        <w:tc>
          <w:tcPr>
            <w:tcW w:type="dxa" w:w="359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Sub-heading names on slide 1 now match slide 2 exactly</w:t>
            </w:r>
          </w:p>
        </w:tc>
      </w:tr>
      <w:tr>
        <w:trPr>
          <w:cantSplit/>
        </w:trPr>
        <w:tc>
          <w:tcPr>
            <w:tcW w:type="dxa" w:w="1263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4</w:t>
            </w:r>
          </w:p>
        </w:tc>
        <w:tc>
          <w:tcPr>
            <w:tcW w:type="dxa" w:w="479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Replaced the duplicated business question (reconciliation tolerances appeared twice) with a data-definition question</w:t>
            </w:r>
          </w:p>
        </w:tc>
        <w:tc>
          <w:tcPr>
            <w:tcW w:type="dxa" w:w="3592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Clear defect</w:t>
            </w:r>
          </w:p>
        </w:tc>
      </w:tr>
      <w:tr>
        <w:trPr>
          <w:cantSplit/>
        </w:trPr>
        <w:tc>
          <w:tcPr>
            <w:tcW w:type="dxa" w:w="1263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5</w:t>
            </w:r>
          </w:p>
        </w:tc>
        <w:tc>
          <w:tcPr>
            <w:tcW w:type="dxa" w:w="479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Added interview role 7, Ingestion / Pipeline Engineer</w:t>
            </w:r>
          </w:p>
        </w:tc>
        <w:tc>
          <w:tcPr>
            <w:tcW w:type="dxa" w:w="3592"/>
            <w:shd w:val="clear" w:color="auto" w:fill="F2F5FA"/>
          </w:tcPr>
          <w:p>
            <w:pPr>
              <w:pStyle w:val="Compact"/>
              <w:spacing w:after="40" w:before="0" w:line="240" w:lineRule="auto"/>
              <w:jc w:val="left"/>
            </w:pPr>
            <w:r>
              <w:rPr>
                <w:rFonts w:ascii="Arial" w:hAnsi="Arial"/>
                <w:color w:val="262626"/>
                <w:sz w:val="17"/>
              </w:rPr>
              <w:t xml:space="preserve">Nobody on the list owned Cribl/NiFi/Event Grid/Auto Loader configuration</w:t>
            </w:r>
          </w:p>
        </w:tc>
      </w:tr>
    </w:tbl>
    <w:p>
      <w:pPr>
        <w:pStyle w:val="BodyText"/>
      </w:pPr>
      <w:r>
        <w:rPr>
          <w:bCs/>
          <w:rFonts w:ascii="Arial" w:hAnsi="Arial" w:cs="Arial" w:eastAsia="Arial"/>
          <w:b/>
        </w:rPr>
        <w:t xml:space="preserve">Not changed (flag for the next pass):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slides 4 and 5 are Splunk-specific while slides 1–3 are generic framework content; on slide 4 the top tech-oriented text slightly overlaps its header banner (pre-existing); on slide 1 the centre hexagon label wraps in LibreOffice rendering, so check it in PowerPoint.</w:t>
      </w:r>
    </w:p>
    <w:p>
      <w:r>
        <w:rPr>
          <w:rFonts w:ascii="Arial" w:hAnsi="Arial" w:cs="Arial" w:eastAsia="Arial"/>
        </w:rPr>
        <w:pict>
          <v:rect style="width:0;height:1.5pt" o:hralign="center" o:hrstd="t" o:hr="t"/>
        </w:pict>
      </w:r>
    </w:p>
    <w:bookmarkEnd w:id="26"/>
    <w:bookmarkStart w:id="27" w:name="sources"/>
    <w:p>
      <w:pPr>
        <w:pStyle w:val="Heading2"/>
      </w:pPr>
      <w:r>
        <w:rPr>
          <w:rFonts w:ascii="Arial" w:hAnsi="Arial" w:cs="Arial" w:eastAsia="Arial"/>
        </w:rPr>
        <w:t xml:space="preserve">8. Sources</w:t>
      </w:r>
    </w:p>
    <w:p>
      <w:pPr>
        <w:pStyle w:val="FirstParagraph"/>
      </w:pPr>
      <w:r>
        <w:rPr>
          <w:rStyle w:val="VerbatimChar"/>
          <w:rFonts w:ascii="Arial" w:hAnsi="Arial" w:cs="Arial" w:eastAsia="Arial"/>
        </w:rPr>
        <w:t xml:space="preserve">Kickoff Deck DRAFT.pptx</w:t>
      </w:r>
      <w:r>
        <w:rPr>
          <w:rFonts w:ascii="Arial" w:hAnsi="Arial" w:cs="Arial" w:eastAsia="Arial"/>
        </w:rPr>
        <w:t xml:space="preserve">;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A_DB Architecture Assessment Primer.pptx</w:t>
      </w:r>
      <w:r>
        <w:rPr>
          <w:rFonts w:ascii="Arial" w:hAnsi="Arial" w:cs="Arial" w:eastAsia="Arial"/>
        </w:rPr>
        <w:t xml:space="preserve">;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workstream-A_architect-environment-walkthrough (1).md</w:t>
      </w:r>
      <w:r>
        <w:rPr>
          <w:rFonts w:ascii="Arial" w:hAnsi="Arial" w:cs="Arial" w:eastAsia="Arial"/>
        </w:rPr>
        <w:t xml:space="preserve">;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workstream-A_architecture-assessment-methodology_DRAFT.docx</w:t>
      </w:r>
      <w:r>
        <w:rPr>
          <w:rFonts w:ascii="Arial" w:hAnsi="Arial" w:cs="Arial" w:eastAsia="Arial"/>
        </w:rPr>
        <w:t xml:space="preserve">;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workstream-B1_data-contracts-methodology.md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and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_DRAFT.docx</w:t>
      </w:r>
      <w:r>
        <w:rPr>
          <w:rFonts w:ascii="Arial" w:hAnsi="Arial" w:cs="Arial" w:eastAsia="Arial"/>
        </w:rPr>
        <w:t xml:space="preserve">;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workstream-B2_bronze-data-landing-methodology.md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and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_DRAFT.docx</w:t>
      </w:r>
      <w:r>
        <w:rPr>
          <w:rFonts w:ascii="Arial" w:hAnsi="Arial" w:cs="Arial" w:eastAsia="Arial"/>
        </w:rPr>
        <w:t xml:space="preserve">;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workstream-C_data-architecture-methodology.md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and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_DRAFT.docx</w:t>
      </w:r>
      <w:r>
        <w:rPr>
          <w:rFonts w:ascii="Arial" w:hAnsi="Arial" w:cs="Arial" w:eastAsia="Arial"/>
        </w:rPr>
        <w:t xml:space="preserve">;</w:t>
      </w:r>
      <w:r>
        <w:rPr>
          <w:rFonts w:ascii="Arial" w:hAnsi="Arial" w:cs="Arial" w:eastAsia="Arial"/>
        </w:rPr>
        <w:t xml:space="preserve"> </w:t>
      </w:r>
      <w:r>
        <w:rPr>
          <w:rStyle w:val="VerbatimChar"/>
          <w:rFonts w:ascii="Arial" w:hAnsi="Arial" w:cs="Arial" w:eastAsia="Arial"/>
        </w:rPr>
        <w:t xml:space="preserve">workstream-D_observability-rationalization-methodology_DRAFT.docx</w:t>
      </w:r>
      <w:r>
        <w:rPr>
          <w:rFonts w:ascii="Arial" w:hAnsi="Arial" w:cs="Arial" w:eastAsia="Arial"/>
        </w:rPr>
        <w:t xml:space="preserve"> </w:t>
      </w:r>
      <w:r>
        <w:rPr>
          <w:rFonts w:ascii="Arial" w:hAnsi="Arial" w:cs="Arial" w:eastAsia="Arial"/>
        </w:rPr>
        <w:t xml:space="preserve">(used for the C → D dependency and Chronicle scope).</w:t>
      </w:r>
    </w:p>
    <w:bookmarkEnd w:id="27"/>
    <w:bookmarkEnd w:id="28"/>
    <w:sectPr>
      <w:footerReference w:type="default" r:id="rId9"/>
      <w:pgMar w:left="1296" w:right="1296" w:top="1296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Arial" w:hAnsi="Arial"/>
        <w:color w:val="767676"/>
        <w:sz w:val="16"/>
      </w:rPr>
      <w:t xml:space="preserve">KPMG | CVS Health: Data Architecture Approach, Workstreams A, B, C | Draft for SME review    Page </w:t>
    </w: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4" w:lineRule="auto"/>
    </w:pPr>
    <w:rPr>
      <w:rFonts w:ascii="Arial" w:hAnsi="Arial" w:cs="Arial" w:eastAsia="Arial"/>
      <w:color w:val="404040"/>
      <w:sz w:val="20"/>
    </w:rPr>
  </w:style>
  <w:style w:styleId="BodyText" w:type="paragraph">
    <w:name w:val="Body Text"/>
    <w:basedOn w:val="Normal"/>
    <w:link w:val="BodyTextChar"/>
    <w:pPr>
      <w:spacing w:after="120" w:before="180" w:line="264" w:lineRule="auto"/>
    </w:pPr>
    <w:qFormat/>
    <w:rPr>
      <w:rFonts w:ascii="Arial" w:hAnsi="Arial" w:cs="Arial" w:eastAsia="Arial"/>
      <w:color w:val="40404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line="264" w:lineRule="auto"/>
    </w:pPr>
    <w:rPr>
      <w:rFonts w:ascii="Arial" w:hAnsi="Arial" w:cs="Arial" w:eastAsia="Arial"/>
      <w:color w:val="404040"/>
      <w:sz w:val="20"/>
    </w:rPr>
  </w:style>
  <w:style w:customStyle="1" w:styleId="Compact" w:type="paragraph">
    <w:name w:val="Compact"/>
    <w:basedOn w:val="BodyText"/>
    <w:qFormat/>
    <w:pPr>
      <w:spacing w:after="120" w:before="36" w:line="264" w:lineRule="auto"/>
    </w:pPr>
    <w:rPr>
      <w:rFonts w:ascii="Arial" w:hAnsi="Arial" w:cs="Arial" w:eastAsia="Arial"/>
      <w:color w:val="40404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0"/>
      <w:jc w:val="center"/>
    </w:pPr>
    <w:rPr>
      <w:rFonts w:ascii="Arial" w:hAnsi="Arial" w:cs="Arial" w:eastAsia="Arial"/>
      <w:b/>
      <w:bCs/>
      <w:color w:val="00338D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="Arial" w:hAnsi="Arial" w:cs="Arial" w:eastAsia="Arial"/>
      <w:b/>
      <w:bCs/>
      <w:color w:val="00338D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 w:eastAsia="Arial"/>
      <w:b/>
      <w:bCs/>
      <w:color w:val="00338D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00"/>
      <w:outlineLvl w:val="2"/>
    </w:pPr>
    <w:rPr>
      <w:rFonts w:ascii="Arial" w:hAnsi="Arial" w:cs="Arial" w:eastAsia="Arial"/>
      <w:b/>
      <w:bCs/>
      <w:color w:val="00338D"/>
      <w:sz w:val="21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2026-10-09T14:59:40Z</dcterms:created>
  <dcterms:modified xsi:type="dcterms:W3CDTF">2026-10-09T14:59:40Z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