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Research Swarm Architecture and Prompt Template</w:t>
      </w:r>
    </w:p>
    <w:p>
      <w:pPr>
        <w:pStyle w:val="Subtitle"/>
      </w:pPr>
      <w:r>
        <w:rPr>
          <w:color w:val="000000"/>
        </w:rPr>
        <w:t>Reusable design handbook for new research problems</w:t>
      </w:r>
    </w:p>
    <w:p>
      <w:r>
        <w:t>Version 1.0 | 1 October 2026</w:t>
      </w:r>
    </w:p>
    <w:p>
      <w:r>
        <w:t>This handbook defines a practical research system that explores alternatives, preserves evidence, checks results, and reports what it has actually established. Use it to prepare a new problem prompt and to specify the software that runs the agents. The recommended starting design has one coordinator, a small pool of bounded research workers, durable records, and separately controlled verification.</w:t>
      </w:r>
    </w:p>
    <w:p>
      <w:r>
        <w:t>The design combines mechanisms from published research systems with original implementation recommendations. It is an integrated proposal to evaluate on your tasks. Its branch counts, budgets, and checkpoints are starting settings, not experimentally established optima. It does not reproduce OpenAI's undisclosed Navier–Stokes harness.</w:t>
      </w:r>
    </w:p>
    <w:p>
      <w:r>
        <w:t>The central requirement is that every accepted result remains connected to the original question, its assumptions, and the evidence that supports it. A candidate can rank highly and still be unverified. A program can run successfully and still test the wrong hypothesis. The architecture keeps those distinctions visible.</w:t>
      </w:r>
    </w:p>
    <w:p>
      <w:pPr>
        <w:pStyle w:val="Heading2"/>
      </w:pPr>
      <w:r>
        <w:rPr>
          <w:color w:val="000000"/>
        </w:rPr>
        <w:t>How to use this handbook</w:t>
      </w:r>
    </w:p>
    <w:p>
      <w:r>
        <w:t>1. Complete the problem worksheet in section 12.</w:t>
      </w:r>
    </w:p>
    <w:p>
      <w:r>
        <w:t>2. Copy the master prompt in section 13 and substitute the bracketed fields.</w:t>
      </w:r>
    </w:p>
    <w:p>
      <w:r>
        <w:t>3. Add the applicable domain instructions from section 15.</w:t>
      </w:r>
    </w:p>
    <w:p>
      <w:r>
        <w:t>4. Provide the role instructions in section 14 to workers and reviewers as needed.</w:t>
      </w:r>
    </w:p>
    <w:p>
      <w:r>
        <w:t>5. Configure the runtime controls in sections 7 through 11. A prompt cannot create missing tools, protect a verifier, or enforce a spending limit by itself.</w:t>
      </w:r>
    </w:p>
    <w:p>
      <w:r>
        <w:t>6. Use the release checklist in section 17 before treating a result as accepted.</w:t>
      </w:r>
    </w:p>
    <w:p>
      <w:r>
        <w:t>For a first implementation, read sections 3 through 5 and 11. For repeated use, keep sections 12 through 17 available alongside the prompt. Section 18 supplies linked references and reading locators.</w:t>
      </w:r>
    </w:p>
    <w:p>
      <w:r>
        <w:t>The scientific papers are evidence about particular systems and evaluations. They are not guarantees for a new problem. OpenAI's mathematical result is discussed only to clarify discovery and verification boundaries; this handbook does not independently certify its analytical or Lean proofs.</w:t>
      </w:r>
    </w:p>
    <w:p>
      <w:pPr>
        <w:pStyle w:val="Heading1"/>
        <w:pageBreakBefore/>
      </w:pPr>
      <w:r>
        <w:rPr>
          <w:color w:val="000000"/>
        </w:rPr>
        <w:t>1 Evidence and scope</w:t>
      </w:r>
    </w:p>
    <w:p>
      <w:pPr>
        <w:pStyle w:val="Heading2"/>
      </w:pPr>
      <w:r>
        <w:rPr>
          <w:color w:val="000000"/>
        </w:rPr>
        <w:t>What OpenAI disclosed</w:t>
      </w:r>
    </w:p>
    <w:p>
      <w:r>
        <w:t xml:space="preserve">OpenAI describes an internal model powering communicating research groups with code and cached-internet tools. Groups explored different problem variants and approaches. After an Euler result, resources shifted toward Navier–Stokes. Codex consolidated discoveries into follow-up prompts. The successful group involved about 10,000 concurrent agents; discovery took roughly 88 hours and subsequent Lean work 17 hours. The internal model used large-scale reinforcement learning. These are reported facts, not measurements reproduced here. The account does not disclose the full scheduler, prompts, memory representation, message topology, or component ablations. </w:t>
      </w:r>
      <w:hyperlink w:anchor="R1">
        <w:r>
          <w:rPr>
            <w:color w:val="244E68"/>
            <w:u w:val="single"/>
          </w:rPr>
          <w:t>[R1]</w:t>
        </w:r>
      </w:hyperlink>
      <w:r/>
    </w:p>
    <w:p>
      <w:r>
        <w:t xml:space="preserve">The announced Navier–Stokes construction uses smooth external forcing and concerns alternatives C and D of the Clay formulation. Alternatives A and B concern unforced regularity. The separate Euler result is unforced. The analytical paper is a mathematical construction, not a specification of the discovery system. </w:t>
      </w:r>
      <w:hyperlink w:anchor="R2">
        <w:r>
          <w:rPr>
            <w:color w:val="244E68"/>
            <w:u w:val="single"/>
          </w:rPr>
          <w:t>[R2]</w:t>
        </w:r>
      </w:hyperlink>
      <w:r>
        <w:t xml:space="preserve"> </w:t>
      </w:r>
      <w:hyperlink w:anchor="R3">
        <w:r>
          <w:rPr>
            <w:color w:val="244E68"/>
            <w:u w:val="single"/>
          </w:rPr>
          <w:t>[R3]</w:t>
        </w:r>
      </w:hyperlink>
      <w:r>
        <w:t xml:space="preserve"> </w:t>
      </w:r>
      <w:hyperlink w:anchor="R4">
        <w:r>
          <w:rPr>
            <w:color w:val="244E68"/>
            <w:u w:val="single"/>
          </w:rPr>
          <w:t>[R4]</w:t>
        </w:r>
      </w:hyperlink>
      <w:r/>
    </w:p>
    <w:p>
      <w:r>
        <w:t xml:space="preserve">The public repository includes Lean formalizations, theorem adapters, formalization metadata, and Comparator challenges. Comparator checks statement matching, permitted axioms, and kernel acceptance under stated trust assumptions. Metadata describes review as self-assessed. Reading these artifacts is distinct from building and independently checking them. </w:t>
      </w:r>
      <w:hyperlink w:anchor="R3">
        <w:r>
          <w:rPr>
            <w:color w:val="244E68"/>
            <w:u w:val="single"/>
          </w:rPr>
          <w:t>[R3]</w:t>
        </w:r>
      </w:hyperlink>
      <w:r>
        <w:t xml:space="preserve"> </w:t>
      </w:r>
      <w:hyperlink w:anchor="R5">
        <w:r>
          <w:rPr>
            <w:color w:val="244E68"/>
            <w:u w:val="single"/>
          </w:rPr>
          <w:t>[R5]</w:t>
        </w:r>
      </w:hyperlink>
      <w:r/>
    </w:p>
    <w:p>
      <w:pPr>
        <w:pStyle w:val="Heading2"/>
      </w:pPr>
      <w:r>
        <w:rPr>
          <w:color w:val="000000"/>
        </w:rPr>
        <w:t>Evidence labels used throughout</w:t>
      </w:r>
    </w:p>
    <w:p>
      <w:r>
        <w:t>Published findings describe what a cited source reports. Proposed design identifies the integrated architecture in this handbook. Starting settings identify configurable examples. Acceptance requirements define what the proposed system must check; they do not imply that every cited source already implements those checks.</w:t>
      </w:r>
    </w:p>
    <w:p>
      <w:r>
        <w:t>The architecture adopts useful mechanisms while preserving their limits. It avoids assigning trained-model performance to prompt design, treating an automated ranking as truth, or extrapolating a benchmark result to every domain.</w:t>
      </w:r>
    </w:p>
    <w:p>
      <w:pPr>
        <w:pStyle w:val="Heading2"/>
      </w:pPr>
      <w:r>
        <w:rPr>
          <w:color w:val="000000"/>
        </w:rPr>
        <w:t>Why no universal best topology is specified</w:t>
      </w:r>
    </w:p>
    <w:p>
      <w:r>
        <w:t xml:space="preserve">The revised scaling study evaluates controlled configurations across several benchmarks. It finds that coordination can help decomposable work and harm sequential work. Its approximate capability thresholds and architecture-selection accuracy describe tested regimes. The independent condition uses output concatenation without cross-validation, so its error findings do not describe every independent ensemble. Some regression interactions are only directional after robustness corrections. </w:t>
      </w:r>
      <w:hyperlink w:anchor="R11">
        <w:r>
          <w:rPr>
            <w:color w:val="244E68"/>
            <w:u w:val="single"/>
          </w:rPr>
          <w:t>[R11]</w:t>
        </w:r>
      </w:hyperlink>
      <w:r/>
    </w:p>
    <w:p>
      <w:r>
        <w:t>Choose a topology according to the question's dependencies, then compare alternatives using the same evaluation tasks and budget policy. Independent exploration can coexist with centralized acceptance. Those are different design decisions.</w:t>
      </w:r>
    </w:p>
    <w:p>
      <w:pPr>
        <w:pStyle w:val="Heading1"/>
        <w:pageBreakBefore/>
      </w:pPr>
      <w:r>
        <w:rPr>
          <w:color w:val="000000"/>
        </w:rPr>
        <w:t>2 Mechanisms retained from the source review</w:t>
      </w:r>
    </w:p>
    <w:p>
      <w:r>
        <w:t>This section is a compact account of the evidence. Later sections define the proposed system in operational detail rather than reproducing source implementations.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3888"/>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Source family</w:t>
            </w:r>
          </w:p>
        </w:tc>
        <w:tc>
          <w:tcPr>
            <w:tcW w:type="dxa" w:w="3744"/>
            <w:vAlign w:val="center"/>
            <w:tcMar>
              <w:top w:w="55" w:type="dxa"/>
              <w:bottom w:w="55" w:type="dxa"/>
              <w:left w:w="95" w:type="dxa"/>
              <w:right w:w="95" w:type="dxa"/>
            </w:tcMar>
            <w:shd w:fill="36454F"/>
          </w:tcPr>
          <w:p>
            <w:pPr>
              <w:spacing w:after="0" w:line="252" w:lineRule="auto"/>
            </w:pPr>
            <w:r>
              <w:rPr>
                <w:b/>
                <w:color w:val="FFFFFF"/>
                <w:sz w:val="19"/>
              </w:rPr>
              <w:t>Published mechanism</w:t>
            </w:r>
          </w:p>
        </w:tc>
        <w:tc>
          <w:tcPr>
            <w:tcW w:type="dxa" w:w="3888"/>
            <w:vAlign w:val="center"/>
            <w:tcMar>
              <w:top w:w="55" w:type="dxa"/>
              <w:bottom w:w="55" w:type="dxa"/>
              <w:left w:w="95" w:type="dxa"/>
              <w:right w:w="95" w:type="dxa"/>
            </w:tcMar>
            <w:shd w:fill="36454F"/>
          </w:tcPr>
          <w:p>
            <w:pPr>
              <w:spacing w:after="0" w:line="252" w:lineRule="auto"/>
            </w:pPr>
            <w:r>
              <w:rPr>
                <w:b/>
                <w:color w:val="FFFFFF"/>
                <w:sz w:val="19"/>
              </w:rPr>
              <w:t>Boundary to preserve</w:t>
            </w:r>
          </w:p>
        </w:tc>
      </w:tr>
      <w:tr>
        <w:trPr>
          <w:cantSplit/>
        </w:trPr>
        <w:tc>
          <w:tcPr>
            <w:tcW w:type="dxa" w:w="2016"/>
            <w:vAlign w:val="center"/>
            <w:tcMar>
              <w:top w:w="55" w:type="dxa"/>
              <w:bottom w:w="55" w:type="dxa"/>
              <w:left w:w="95" w:type="dxa"/>
              <w:right w:w="95" w:type="dxa"/>
            </w:tcMar>
          </w:tcPr>
          <w:p>
            <w:pPr>
              <w:spacing w:after="0" w:line="252" w:lineRule="auto"/>
            </w:pPr>
            <w:r>
              <w:rPr>
                <w:sz w:val="19"/>
              </w:rPr>
              <w:t>OpenAI discovery account</w:t>
            </w:r>
          </w:p>
        </w:tc>
        <w:tc>
          <w:tcPr>
            <w:tcW w:type="dxa" w:w="3744"/>
            <w:vAlign w:val="center"/>
            <w:tcMar>
              <w:top w:w="55" w:type="dxa"/>
              <w:bottom w:w="55" w:type="dxa"/>
              <w:left w:w="95" w:type="dxa"/>
              <w:right w:w="95" w:type="dxa"/>
            </w:tcMar>
          </w:tcPr>
          <w:p>
            <w:pPr>
              <w:spacing w:after="0" w:line="252" w:lineRule="auto"/>
            </w:pPr>
            <w:r>
              <w:rPr>
                <w:sz w:val="19"/>
              </w:rPr>
              <w:t>Diverse group exploration, consolidation, transfer of intermediate findings, resource reallocation</w:t>
            </w:r>
          </w:p>
        </w:tc>
        <w:tc>
          <w:tcPr>
            <w:tcW w:type="dxa" w:w="3888"/>
            <w:vAlign w:val="center"/>
            <w:tcMar>
              <w:top w:w="55" w:type="dxa"/>
              <w:bottom w:w="55" w:type="dxa"/>
              <w:left w:w="95" w:type="dxa"/>
              <w:right w:w="95" w:type="dxa"/>
            </w:tcMar>
          </w:tcPr>
          <w:p>
            <w:pPr>
              <w:spacing w:after="0" w:line="252" w:lineRule="auto"/>
            </w:pPr>
            <w:r>
              <w:rPr>
                <w:sz w:val="19"/>
              </w:rPr>
              <w:t xml:space="preserve">Internal model and harness are not publicly reproducible </w:t>
            </w:r>
            <w:hyperlink w:anchor="R1">
              <w:r>
                <w:rPr>
                  <w:color w:val="244E68"/>
                  <w:u w:val="single"/>
                </w:rPr>
                <w:t>[R1]</w:t>
              </w:r>
            </w:hyperlink>
            <w:r>
              <w:rPr>
                <w:sz w:val="19"/>
              </w:rPr>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Anthropic research</w:t>
            </w:r>
          </w:p>
        </w:tc>
        <w:tc>
          <w:tcPr>
            <w:tcW w:type="dxa" w:w="3744"/>
            <w:vAlign w:val="center"/>
            <w:tcMar>
              <w:top w:w="55" w:type="dxa"/>
              <w:bottom w:w="55" w:type="dxa"/>
              <w:left w:w="95" w:type="dxa"/>
              <w:right w:w="95" w:type="dxa"/>
            </w:tcMar>
            <w:shd w:fill="F2F5F7"/>
          </w:tcPr>
          <w:p>
            <w:pPr>
              <w:spacing w:after="0" w:line="252" w:lineRule="auto"/>
            </w:pPr>
            <w:r>
              <w:rPr>
                <w:sz w:val="19"/>
              </w:rPr>
              <w:t>Bounded delegation, focused worker contexts, stored artifacts, citation review and recovery</w:t>
            </w:r>
          </w:p>
        </w:tc>
        <w:tc>
          <w:tcPr>
            <w:tcW w:type="dxa" w:w="3888"/>
            <w:vAlign w:val="center"/>
            <w:tcMar>
              <w:top w:w="55" w:type="dxa"/>
              <w:bottom w:w="55" w:type="dxa"/>
              <w:left w:w="95" w:type="dxa"/>
              <w:right w:w="95" w:type="dxa"/>
            </w:tcMar>
            <w:shd w:fill="F2F5F7"/>
          </w:tcPr>
          <w:p>
            <w:pPr>
              <w:spacing w:after="0" w:line="252" w:lineRule="auto"/>
            </w:pPr>
            <w:r>
              <w:rPr>
                <w:sz w:val="19"/>
              </w:rPr>
              <w:t xml:space="preserve">Its published system used synchronous batches; asynchronous execution was discussed as a further development </w:t>
            </w:r>
            <w:hyperlink w:anchor="R6">
              <w:r>
                <w:rPr>
                  <w:color w:val="244E68"/>
                  <w:u w:val="single"/>
                </w:rPr>
                <w:t>[R6]</w:t>
              </w:r>
            </w:hyperlink>
            <w:r>
              <w:rPr>
                <w:sz w:val="19"/>
              </w:rPr>
            </w:r>
          </w:p>
        </w:tc>
      </w:tr>
      <w:tr>
        <w:trPr>
          <w:cantSplit/>
        </w:trPr>
        <w:tc>
          <w:tcPr>
            <w:tcW w:type="dxa" w:w="2016"/>
            <w:vAlign w:val="center"/>
            <w:tcMar>
              <w:top w:w="55" w:type="dxa"/>
              <w:bottom w:w="55" w:type="dxa"/>
              <w:left w:w="95" w:type="dxa"/>
              <w:right w:w="95" w:type="dxa"/>
            </w:tcMar>
          </w:tcPr>
          <w:p>
            <w:pPr>
              <w:spacing w:after="0" w:line="252" w:lineRule="auto"/>
            </w:pPr>
            <w:r>
              <w:rPr>
                <w:sz w:val="19"/>
              </w:rPr>
              <w:t>Google Co Scientist</w:t>
            </w:r>
          </w:p>
        </w:tc>
        <w:tc>
          <w:tcPr>
            <w:tcW w:type="dxa" w:w="3744"/>
            <w:vAlign w:val="center"/>
            <w:tcMar>
              <w:top w:w="55" w:type="dxa"/>
              <w:bottom w:w="55" w:type="dxa"/>
              <w:left w:w="95" w:type="dxa"/>
              <w:right w:w="95" w:type="dxa"/>
            </w:tcMar>
          </w:tcPr>
          <w:p>
            <w:pPr>
              <w:spacing w:after="0" w:line="252" w:lineRule="auto"/>
            </w:pPr>
            <w:r>
              <w:rPr>
                <w:sz w:val="19"/>
              </w:rPr>
              <w:t>Specialized hypothesis workers, persistent context, comparative ranking, clustering, refinement and meta review</w:t>
            </w:r>
          </w:p>
        </w:tc>
        <w:tc>
          <w:tcPr>
            <w:tcW w:type="dxa" w:w="3888"/>
            <w:vAlign w:val="center"/>
            <w:tcMar>
              <w:top w:w="55" w:type="dxa"/>
              <w:bottom w:w="55" w:type="dxa"/>
              <w:left w:w="95" w:type="dxa"/>
              <w:right w:w="95" w:type="dxa"/>
            </w:tcMar>
          </w:tcPr>
          <w:p>
            <w:pPr>
              <w:spacing w:after="0" w:line="252" w:lineRule="auto"/>
            </w:pPr>
            <w:r>
              <w:rPr>
                <w:sz w:val="19"/>
              </w:rPr>
              <w:t xml:space="preserve">Rankings guide attention; they do not establish scientific truth </w:t>
            </w:r>
            <w:hyperlink w:anchor="R7">
              <w:r>
                <w:rPr>
                  <w:color w:val="244E68"/>
                  <w:u w:val="single"/>
                </w:rPr>
                <w:t>[R7]</w:t>
              </w:r>
            </w:hyperlink>
            <w:r>
              <w:rPr>
                <w:sz w:val="19"/>
              </w:rPr>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Google execution extension</w:t>
            </w:r>
          </w:p>
        </w:tc>
        <w:tc>
          <w:tcPr>
            <w:tcW w:type="dxa" w:w="3744"/>
            <w:vAlign w:val="center"/>
            <w:tcMar>
              <w:top w:w="55" w:type="dxa"/>
              <w:bottom w:w="55" w:type="dxa"/>
              <w:left w:w="95" w:type="dxa"/>
              <w:right w:w="95" w:type="dxa"/>
            </w:tcMar>
            <w:shd w:fill="F2F5F7"/>
          </w:tcPr>
          <w:p>
            <w:pPr>
              <w:spacing w:after="0" w:line="252" w:lineRule="auto"/>
            </w:pPr>
            <w:r>
              <w:rPr>
                <w:sz w:val="19"/>
              </w:rPr>
              <w:t>Staged experiments, synchronization of plans with execution, numerical claim checks</w:t>
            </w:r>
          </w:p>
        </w:tc>
        <w:tc>
          <w:tcPr>
            <w:tcW w:type="dxa" w:w="3888"/>
            <w:vAlign w:val="center"/>
            <w:tcMar>
              <w:top w:w="55" w:type="dxa"/>
              <w:bottom w:w="55" w:type="dxa"/>
              <w:left w:w="95" w:type="dxa"/>
              <w:right w:w="95" w:type="dxa"/>
            </w:tcMar>
            <w:shd w:fill="F2F5F7"/>
          </w:tcPr>
          <w:p>
            <w:pPr>
              <w:spacing w:after="0" w:line="252" w:lineRule="auto"/>
            </w:pPr>
            <w:r>
              <w:rPr>
                <w:sz w:val="19"/>
              </w:rPr>
              <w:t xml:space="preserve">Logs can still conceal leakage, cherry picking, or a wrong implementation </w:t>
            </w:r>
            <w:hyperlink w:anchor="R8">
              <w:r>
                <w:rPr>
                  <w:color w:val="244E68"/>
                  <w:u w:val="single"/>
                </w:rPr>
                <w:t>[R8]</w:t>
              </w:r>
            </w:hyperlink>
            <w:r>
              <w:rPr>
                <w:sz w:val="19"/>
              </w:rPr>
            </w:r>
          </w:p>
        </w:tc>
      </w:tr>
      <w:tr>
        <w:trPr>
          <w:cantSplit/>
        </w:trPr>
        <w:tc>
          <w:tcPr>
            <w:tcW w:type="dxa" w:w="2016"/>
            <w:vAlign w:val="center"/>
            <w:tcMar>
              <w:top w:w="55" w:type="dxa"/>
              <w:bottom w:w="55" w:type="dxa"/>
              <w:left w:w="95" w:type="dxa"/>
              <w:right w:w="95" w:type="dxa"/>
            </w:tcMar>
          </w:tcPr>
          <w:p>
            <w:pPr>
              <w:spacing w:after="0" w:line="252" w:lineRule="auto"/>
            </w:pPr>
            <w:r>
              <w:rPr>
                <w:sz w:val="19"/>
              </w:rPr>
              <w:t>EvoScientist</w:t>
            </w:r>
          </w:p>
        </w:tc>
        <w:tc>
          <w:tcPr>
            <w:tcW w:type="dxa" w:w="3744"/>
            <w:vAlign w:val="center"/>
            <w:tcMar>
              <w:top w:w="55" w:type="dxa"/>
              <w:bottom w:w="55" w:type="dxa"/>
              <w:left w:w="95" w:type="dxa"/>
              <w:right w:w="95" w:type="dxa"/>
            </w:tcMar>
          </w:tcPr>
          <w:p>
            <w:pPr>
              <w:spacing w:after="0" w:line="252" w:lineRule="auto"/>
            </w:pPr>
            <w:r>
              <w:rPr>
                <w:sz w:val="19"/>
              </w:rPr>
              <w:t>Separate memory for research directions and execution practices</w:t>
            </w:r>
          </w:p>
        </w:tc>
        <w:tc>
          <w:tcPr>
            <w:tcW w:type="dxa" w:w="3888"/>
            <w:vAlign w:val="center"/>
            <w:tcMar>
              <w:top w:w="55" w:type="dxa"/>
              <w:bottom w:w="55" w:type="dxa"/>
              <w:left w:w="95" w:type="dxa"/>
              <w:right w:w="95" w:type="dxa"/>
            </w:tcMar>
          </w:tcPr>
          <w:p>
            <w:pPr>
              <w:spacing w:after="0" w:line="252" w:lineRule="auto"/>
            </w:pPr>
            <w:r>
              <w:rPr>
                <w:sz w:val="19"/>
              </w:rPr>
              <w:t xml:space="preserve">Execution success and scientific correctness remain separate </w:t>
            </w:r>
            <w:hyperlink w:anchor="R9">
              <w:r>
                <w:rPr>
                  <w:color w:val="244E68"/>
                  <w:u w:val="single"/>
                </w:rPr>
                <w:t>[R9]</w:t>
              </w:r>
            </w:hyperlink>
            <w:r>
              <w:rPr>
                <w:sz w:val="19"/>
              </w:rPr>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Sakana AI Scientist v2</w:t>
            </w:r>
          </w:p>
        </w:tc>
        <w:tc>
          <w:tcPr>
            <w:tcW w:type="dxa" w:w="3744"/>
            <w:vAlign w:val="center"/>
            <w:tcMar>
              <w:top w:w="55" w:type="dxa"/>
              <w:bottom w:w="55" w:type="dxa"/>
              <w:left w:w="95" w:type="dxa"/>
              <w:right w:w="95" w:type="dxa"/>
            </w:tcMar>
            <w:shd w:fill="F2F5F7"/>
          </w:tcPr>
          <w:p>
            <w:pPr>
              <w:spacing w:after="0" w:line="252" w:lineRule="auto"/>
            </w:pPr>
            <w:r>
              <w:rPr>
                <w:sz w:val="19"/>
              </w:rPr>
              <w:t>Experiment manager and branching search, debugging, replication and ablation</w:t>
            </w:r>
          </w:p>
        </w:tc>
        <w:tc>
          <w:tcPr>
            <w:tcW w:type="dxa" w:w="3888"/>
            <w:vAlign w:val="center"/>
            <w:tcMar>
              <w:top w:w="55" w:type="dxa"/>
              <w:bottom w:w="55" w:type="dxa"/>
              <w:left w:w="95" w:type="dxa"/>
              <w:right w:w="95" w:type="dxa"/>
            </w:tcMar>
            <w:shd w:fill="F2F5F7"/>
          </w:tcPr>
          <w:p>
            <w:pPr>
              <w:spacing w:after="0" w:line="252" w:lineRule="auto"/>
            </w:pPr>
            <w:r>
              <w:rPr>
                <w:sz w:val="19"/>
              </w:rPr>
              <w:t xml:space="preserve">Paper settings and current repository defaults differ </w:t>
            </w:r>
            <w:hyperlink w:anchor="R10">
              <w:r>
                <w:rPr>
                  <w:color w:val="244E68"/>
                  <w:u w:val="single"/>
                </w:rPr>
                <w:t>[R10]</w:t>
              </w:r>
            </w:hyperlink>
            <w:r>
              <w:rPr>
                <w:sz w:val="19"/>
              </w:rPr>
            </w:r>
          </w:p>
        </w:tc>
      </w:tr>
      <w:tr>
        <w:trPr>
          <w:cantSplit/>
        </w:trPr>
        <w:tc>
          <w:tcPr>
            <w:tcW w:type="dxa" w:w="2016"/>
            <w:vAlign w:val="center"/>
            <w:tcMar>
              <w:top w:w="55" w:type="dxa"/>
              <w:bottom w:w="55" w:type="dxa"/>
              <w:left w:w="95" w:type="dxa"/>
              <w:right w:w="95" w:type="dxa"/>
            </w:tcMar>
          </w:tcPr>
          <w:p>
            <w:pPr>
              <w:spacing w:after="0" w:line="252" w:lineRule="auto"/>
            </w:pPr>
            <w:r>
              <w:rPr>
                <w:sz w:val="19"/>
              </w:rPr>
              <w:t>SearchSwarm</w:t>
            </w:r>
          </w:p>
        </w:tc>
        <w:tc>
          <w:tcPr>
            <w:tcW w:type="dxa" w:w="3744"/>
            <w:vAlign w:val="center"/>
            <w:tcMar>
              <w:top w:w="55" w:type="dxa"/>
              <w:bottom w:w="55" w:type="dxa"/>
              <w:left w:w="95" w:type="dxa"/>
              <w:right w:w="95" w:type="dxa"/>
            </w:tcMar>
          </w:tcPr>
          <w:p>
            <w:pPr>
              <w:spacing w:after="0" w:line="252" w:lineRule="auto"/>
            </w:pPr>
            <w:r>
              <w:rPr>
                <w:sz w:val="19"/>
              </w:rPr>
              <w:t>Fresh worker contexts, explicit briefs and condensed cited returns</w:t>
            </w:r>
          </w:p>
        </w:tc>
        <w:tc>
          <w:tcPr>
            <w:tcW w:type="dxa" w:w="3888"/>
            <w:vAlign w:val="center"/>
            <w:tcMar>
              <w:top w:w="55" w:type="dxa"/>
              <w:bottom w:w="55" w:type="dxa"/>
              <w:left w:w="95" w:type="dxa"/>
              <w:right w:w="95" w:type="dxa"/>
            </w:tcMar>
          </w:tcPr>
          <w:p>
            <w:pPr>
              <w:spacing w:after="0" w:line="252" w:lineRule="auto"/>
            </w:pPr>
            <w:r>
              <w:rPr>
                <w:sz w:val="19"/>
              </w:rPr>
              <w:t xml:space="preserve">Reported results combine orchestration and supervised training </w:t>
            </w:r>
            <w:hyperlink w:anchor="R14">
              <w:r>
                <w:rPr>
                  <w:color w:val="244E68"/>
                  <w:u w:val="single"/>
                </w:rPr>
                <w:t>[R14]</w:t>
              </w:r>
            </w:hyperlink>
            <w:r>
              <w:rPr>
                <w:sz w:val="19"/>
              </w:rPr>
            </w:r>
          </w:p>
        </w:tc>
      </w:tr>
    </w:tbl>
    <w:p>
      <w:pPr>
        <w:spacing w:after="40" w:before="0" w:line="240" w:lineRule="auto"/>
      </w:pPr>
      <w:r>
        <w:rPr>
          <w:sz w:val="4"/>
        </w:rPr>
      </w:r>
    </w:p>
    <w:p>
      <w:r>
        <w:t xml:space="preserve">Anthropic also emphasizes concise feedback, clear task ownership, and reliable external checks in its compiler experiment. When all workers encountered the same blocking dependency, adding workers did not resolve contention; redesigned tests made more work separable. </w:t>
      </w:r>
      <w:hyperlink w:anchor="R16">
        <w:r>
          <w:rPr>
            <w:color w:val="244E68"/>
            <w:u w:val="single"/>
          </w:rPr>
          <w:t>[R16]</w:t>
        </w:r>
      </w:hyperlink>
      <w:r/>
    </w:p>
    <w:p>
      <w:r>
        <w:t xml:space="preserve">Google's revised Co-Scientist paper supplies illustrative pseudocode and prompts. Its August 2026 extension uses Bayesian skill ratings with an uncertainty bonus instead of the earlier Elo-based comparison design and adds execution and manuscript checks. These versions should not be collapsed into one historical implementation. </w:t>
      </w:r>
      <w:hyperlink w:anchor="R7">
        <w:r>
          <w:rPr>
            <w:color w:val="244E68"/>
            <w:u w:val="single"/>
          </w:rPr>
          <w:t>[R7]</w:t>
        </w:r>
      </w:hyperlink>
      <w:r>
        <w:t xml:space="preserve"> </w:t>
      </w:r>
      <w:hyperlink w:anchor="R8">
        <w:r>
          <w:rPr>
            <w:color w:val="244E68"/>
            <w:u w:val="single"/>
          </w:rPr>
          <w:t>[R8]</w:t>
        </w:r>
      </w:hyperlink>
      <w:r/>
    </w:p>
    <w:p>
      <w:r>
        <w:t xml:space="preserve">MAST supplies a diagnostic taxonomy for specification, coordination, verification, and stopping failures. It shows why adding a reviewer role alone does not ensure useful checking. A mathematical-swarm case study reports evaluation exploitation spreading through shared artifacts and messages; it supports examining acceptance integrity, without establishing an incidence rate for all swarms. </w:t>
      </w:r>
      <w:hyperlink w:anchor="R12">
        <w:r>
          <w:rPr>
            <w:color w:val="244E68"/>
            <w:u w:val="single"/>
          </w:rPr>
          <w:t>[R12]</w:t>
        </w:r>
      </w:hyperlink>
      <w:r>
        <w:t xml:space="preserve"> </w:t>
      </w:r>
      <w:hyperlink w:anchor="R13">
        <w:r>
          <w:rPr>
            <w:color w:val="244E68"/>
            <w:u w:val="single"/>
          </w:rPr>
          <w:t>[R13]</w:t>
        </w:r>
      </w:hyperlink>
      <w:r/>
    </w:p>
    <w:p>
      <w:r>
        <w:t>The resulting proposal uses a small coordinator-led system with selective parallelism. Shared evidence is versioned; ranking and acceptance are separate; the runtime enforces ownership and resources; verification checks the intended claim. Each mechanism can be removed or changed through evaluation.</w:t>
      </w:r>
    </w:p>
    <w:p>
      <w:pPr>
        <w:pStyle w:val="Heading1"/>
        <w:pageBreakBefore/>
      </w:pPr>
      <w:r>
        <w:rPr>
          <w:color w:val="000000"/>
        </w:rPr>
        <w:t>3 System architecture</w:t>
      </w:r>
    </w:p>
    <w:p>
      <w:pPr>
        <w:pStyle w:val="Heading2"/>
      </w:pPr>
      <w:r>
        <w:rPr>
          <w:color w:val="000000"/>
        </w:rPr>
        <w:t>Proposed components</w:t>
      </w:r>
    </w:p>
    <w:p>
      <w:r>
        <w:t>The system has four layers. The problem contract defines the question and what counts as a result. The research layer proposes and investigates approaches. The runtime layer executes tasks and maintains durable records. The acceptance layer checks evidence against the contract.</w:t>
      </w:r>
    </w:p>
    <w:p>
      <w:pPr>
        <w:keepNext/>
      </w:pPr>
      <w:r>
        <w:drawing>
          <wp:inline xmlns:a="http://schemas.openxmlformats.org/drawingml/2006/main" xmlns:pic="http://schemas.openxmlformats.org/drawingml/2006/picture">
            <wp:extent cx="6126480" cy="2335720"/>
            <wp:docPr id="1" name="Picture 1" descr="Coordinator proposes bounded tasks to a controlled runtime. Research workers, review and protected verification write versioned evidence and decisions that feed further planni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2335720"/>
                    </a:xfrm>
                    <a:prstGeom prst="rect"/>
                  </pic:spPr>
                </pic:pic>
              </a:graphicData>
            </a:graphic>
          </wp:inline>
        </w:drawing>
      </w:r>
    </w:p>
    <w:p>
      <w:pPr>
        <w:spacing w:after="140"/>
      </w:pPr>
      <w:r>
        <w:rPr>
          <w:sz w:val="18"/>
        </w:rPr>
        <w:t>Figure 1. Research workers submit artifacts and evidence. Review produces objections and recommendations. A separately controlled verifier writes check records. The coordinator uses all three to choose the next task or prepare the final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3888"/>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Component</w:t>
            </w:r>
          </w:p>
        </w:tc>
        <w:tc>
          <w:tcPr>
            <w:tcW w:type="dxa" w:w="3744"/>
            <w:vAlign w:val="center"/>
            <w:tcMar>
              <w:top w:w="55" w:type="dxa"/>
              <w:bottom w:w="55" w:type="dxa"/>
              <w:left w:w="95" w:type="dxa"/>
              <w:right w:w="95" w:type="dxa"/>
            </w:tcMar>
            <w:shd w:fill="36454F"/>
          </w:tcPr>
          <w:p>
            <w:pPr>
              <w:spacing w:after="0" w:line="252" w:lineRule="auto"/>
            </w:pPr>
            <w:r>
              <w:rPr>
                <w:b/>
                <w:color w:val="FFFFFF"/>
                <w:sz w:val="19"/>
              </w:rPr>
              <w:t>Responsibility</w:t>
            </w:r>
          </w:p>
        </w:tc>
        <w:tc>
          <w:tcPr>
            <w:tcW w:type="dxa" w:w="3888"/>
            <w:vAlign w:val="center"/>
            <w:tcMar>
              <w:top w:w="55" w:type="dxa"/>
              <w:bottom w:w="55" w:type="dxa"/>
              <w:left w:w="95" w:type="dxa"/>
              <w:right w:w="95" w:type="dxa"/>
            </w:tcMar>
            <w:shd w:fill="36454F"/>
          </w:tcPr>
          <w:p>
            <w:pPr>
              <w:spacing w:after="0" w:line="252" w:lineRule="auto"/>
            </w:pPr>
            <w:r>
              <w:rPr>
                <w:b/>
                <w:color w:val="FFFFFF"/>
                <w:sz w:val="19"/>
              </w:rPr>
              <w:t>Authority</w:t>
            </w:r>
          </w:p>
        </w:tc>
      </w:tr>
      <w:tr>
        <w:trPr>
          <w:cantSplit/>
        </w:trPr>
        <w:tc>
          <w:tcPr>
            <w:tcW w:type="dxa" w:w="2016"/>
            <w:vAlign w:val="center"/>
            <w:tcMar>
              <w:top w:w="55" w:type="dxa"/>
              <w:bottom w:w="55" w:type="dxa"/>
              <w:left w:w="95" w:type="dxa"/>
              <w:right w:w="95" w:type="dxa"/>
            </w:tcMar>
          </w:tcPr>
          <w:p>
            <w:pPr>
              <w:spacing w:after="0" w:line="252" w:lineRule="auto"/>
            </w:pPr>
            <w:r>
              <w:rPr>
                <w:sz w:val="19"/>
              </w:rPr>
              <w:t>Problem contract</w:t>
            </w:r>
          </w:p>
        </w:tc>
        <w:tc>
          <w:tcPr>
            <w:tcW w:type="dxa" w:w="3744"/>
            <w:vAlign w:val="center"/>
            <w:tcMar>
              <w:top w:w="55" w:type="dxa"/>
              <w:bottom w:w="55" w:type="dxa"/>
              <w:left w:w="95" w:type="dxa"/>
              <w:right w:w="95" w:type="dxa"/>
            </w:tcMar>
          </w:tcPr>
          <w:p>
            <w:pPr>
              <w:spacing w:after="0" w:line="252" w:lineRule="auto"/>
            </w:pPr>
            <w:r>
              <w:rPr>
                <w:sz w:val="19"/>
              </w:rPr>
              <w:t>Exact goal, assumptions, scope, acceptance criteria</w:t>
            </w:r>
          </w:p>
        </w:tc>
        <w:tc>
          <w:tcPr>
            <w:tcW w:type="dxa" w:w="3888"/>
            <w:vAlign w:val="center"/>
            <w:tcMar>
              <w:top w:w="55" w:type="dxa"/>
              <w:bottom w:w="55" w:type="dxa"/>
              <w:left w:w="95" w:type="dxa"/>
              <w:right w:w="95" w:type="dxa"/>
            </w:tcMar>
          </w:tcPr>
          <w:p>
            <w:pPr>
              <w:spacing w:after="0" w:line="252" w:lineRule="auto"/>
            </w:pPr>
            <w:r>
              <w:rPr>
                <w:sz w:val="19"/>
              </w:rPr>
              <w:t>Changes require an explicit contract revision</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Coordinator</w:t>
            </w:r>
          </w:p>
        </w:tc>
        <w:tc>
          <w:tcPr>
            <w:tcW w:type="dxa" w:w="3744"/>
            <w:vAlign w:val="center"/>
            <w:tcMar>
              <w:top w:w="55" w:type="dxa"/>
              <w:bottom w:w="55" w:type="dxa"/>
              <w:left w:w="95" w:type="dxa"/>
              <w:right w:w="95" w:type="dxa"/>
            </w:tcMar>
            <w:shd w:fill="F2F5F7"/>
          </w:tcPr>
          <w:p>
            <w:pPr>
              <w:spacing w:after="0" w:line="252" w:lineRule="auto"/>
            </w:pPr>
            <w:r>
              <w:rPr>
                <w:sz w:val="19"/>
              </w:rPr>
              <w:t>Plan, decomposition, task proposals, consolidation, final synthesis</w:t>
            </w:r>
          </w:p>
        </w:tc>
        <w:tc>
          <w:tcPr>
            <w:tcW w:type="dxa" w:w="3888"/>
            <w:vAlign w:val="center"/>
            <w:tcMar>
              <w:top w:w="55" w:type="dxa"/>
              <w:bottom w:w="55" w:type="dxa"/>
              <w:left w:w="95" w:type="dxa"/>
              <w:right w:w="95" w:type="dxa"/>
            </w:tcMar>
            <w:shd w:fill="F2F5F7"/>
          </w:tcPr>
          <w:p>
            <w:pPr>
              <w:spacing w:after="0" w:line="252" w:lineRule="auto"/>
            </w:pPr>
            <w:r>
              <w:rPr>
                <w:sz w:val="19"/>
              </w:rPr>
              <w:t>Can propose work and prioritize candidates</w:t>
            </w:r>
          </w:p>
        </w:tc>
      </w:tr>
      <w:tr>
        <w:trPr>
          <w:cantSplit/>
        </w:trPr>
        <w:tc>
          <w:tcPr>
            <w:tcW w:type="dxa" w:w="2016"/>
            <w:vAlign w:val="center"/>
            <w:tcMar>
              <w:top w:w="55" w:type="dxa"/>
              <w:bottom w:w="55" w:type="dxa"/>
              <w:left w:w="95" w:type="dxa"/>
              <w:right w:w="95" w:type="dxa"/>
            </w:tcMar>
          </w:tcPr>
          <w:p>
            <w:pPr>
              <w:spacing w:after="0" w:line="252" w:lineRule="auto"/>
            </w:pPr>
            <w:r>
              <w:rPr>
                <w:sz w:val="19"/>
              </w:rPr>
              <w:t>Research worker</w:t>
            </w:r>
          </w:p>
        </w:tc>
        <w:tc>
          <w:tcPr>
            <w:tcW w:type="dxa" w:w="3744"/>
            <w:vAlign w:val="center"/>
            <w:tcMar>
              <w:top w:w="55" w:type="dxa"/>
              <w:bottom w:w="55" w:type="dxa"/>
              <w:left w:w="95" w:type="dxa"/>
              <w:right w:w="95" w:type="dxa"/>
            </w:tcMar>
          </w:tcPr>
          <w:p>
            <w:pPr>
              <w:spacing w:after="0" w:line="252" w:lineRule="auto"/>
            </w:pPr>
            <w:r>
              <w:rPr>
                <w:sz w:val="19"/>
              </w:rPr>
              <w:t>Bounded literature search, derivation, experiment or counterexample attempt</w:t>
            </w:r>
          </w:p>
        </w:tc>
        <w:tc>
          <w:tcPr>
            <w:tcW w:type="dxa" w:w="3888"/>
            <w:vAlign w:val="center"/>
            <w:tcMar>
              <w:top w:w="55" w:type="dxa"/>
              <w:bottom w:w="55" w:type="dxa"/>
              <w:left w:w="95" w:type="dxa"/>
              <w:right w:w="95" w:type="dxa"/>
            </w:tcMar>
          </w:tcPr>
          <w:p>
            <w:pPr>
              <w:spacing w:after="0" w:line="252" w:lineRule="auto"/>
            </w:pPr>
            <w:r>
              <w:rPr>
                <w:sz w:val="19"/>
              </w:rPr>
              <w:t>Can submit proposals and artifacts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Reviewer</w:t>
            </w:r>
          </w:p>
        </w:tc>
        <w:tc>
          <w:tcPr>
            <w:tcW w:type="dxa" w:w="3744"/>
            <w:vAlign w:val="center"/>
            <w:tcMar>
              <w:top w:w="55" w:type="dxa"/>
              <w:bottom w:w="55" w:type="dxa"/>
              <w:left w:w="95" w:type="dxa"/>
              <w:right w:w="95" w:type="dxa"/>
            </w:tcMar>
            <w:shd w:fill="F2F5F7"/>
          </w:tcPr>
          <w:p>
            <w:pPr>
              <w:spacing w:after="0" w:line="252" w:lineRule="auto"/>
            </w:pPr>
            <w:r>
              <w:rPr>
                <w:sz w:val="19"/>
              </w:rPr>
              <w:t>Find gaps, competing explanations, missing checks and duplication</w:t>
            </w:r>
          </w:p>
        </w:tc>
        <w:tc>
          <w:tcPr>
            <w:tcW w:type="dxa" w:w="3888"/>
            <w:vAlign w:val="center"/>
            <w:tcMar>
              <w:top w:w="55" w:type="dxa"/>
              <w:bottom w:w="55" w:type="dxa"/>
              <w:left w:w="95" w:type="dxa"/>
              <w:right w:w="95" w:type="dxa"/>
            </w:tcMar>
            <w:shd w:fill="F2F5F7"/>
          </w:tcPr>
          <w:p>
            <w:pPr>
              <w:spacing w:after="0" w:line="252" w:lineRule="auto"/>
            </w:pPr>
            <w:r>
              <w:rPr>
                <w:sz w:val="19"/>
              </w:rPr>
              <w:t>Can request revisions or raise a dispute</w:t>
            </w:r>
          </w:p>
        </w:tc>
      </w:tr>
      <w:tr>
        <w:trPr>
          <w:cantSplit/>
        </w:trPr>
        <w:tc>
          <w:tcPr>
            <w:tcW w:type="dxa" w:w="2016"/>
            <w:vAlign w:val="center"/>
            <w:tcMar>
              <w:top w:w="55" w:type="dxa"/>
              <w:bottom w:w="55" w:type="dxa"/>
              <w:left w:w="95" w:type="dxa"/>
              <w:right w:w="95" w:type="dxa"/>
            </w:tcMar>
          </w:tcPr>
          <w:p>
            <w:pPr>
              <w:spacing w:after="0" w:line="252" w:lineRule="auto"/>
            </w:pPr>
            <w:r>
              <w:rPr>
                <w:sz w:val="19"/>
              </w:rPr>
              <w:t>Verifier</w:t>
            </w:r>
          </w:p>
        </w:tc>
        <w:tc>
          <w:tcPr>
            <w:tcW w:type="dxa" w:w="3744"/>
            <w:vAlign w:val="center"/>
            <w:tcMar>
              <w:top w:w="55" w:type="dxa"/>
              <w:bottom w:w="55" w:type="dxa"/>
              <w:left w:w="95" w:type="dxa"/>
              <w:right w:w="95" w:type="dxa"/>
            </w:tcMar>
          </w:tcPr>
          <w:p>
            <w:pPr>
              <w:spacing w:after="0" w:line="252" w:lineRule="auto"/>
            </w:pPr>
            <w:r>
              <w:rPr>
                <w:sz w:val="19"/>
              </w:rPr>
              <w:t>Execute configured domain checks against fixed specifications</w:t>
            </w:r>
          </w:p>
        </w:tc>
        <w:tc>
          <w:tcPr>
            <w:tcW w:type="dxa" w:w="3888"/>
            <w:vAlign w:val="center"/>
            <w:tcMar>
              <w:top w:w="55" w:type="dxa"/>
              <w:bottom w:w="55" w:type="dxa"/>
              <w:left w:w="95" w:type="dxa"/>
              <w:right w:w="95" w:type="dxa"/>
            </w:tcMar>
          </w:tcPr>
          <w:p>
            <w:pPr>
              <w:spacing w:after="0" w:line="252" w:lineRule="auto"/>
            </w:pPr>
            <w:r>
              <w:rPr>
                <w:sz w:val="19"/>
              </w:rPr>
              <w:t>Can record pass, fail or inconclusive checks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Runtime controller</w:t>
            </w:r>
          </w:p>
        </w:tc>
        <w:tc>
          <w:tcPr>
            <w:tcW w:type="dxa" w:w="3744"/>
            <w:vAlign w:val="center"/>
            <w:tcMar>
              <w:top w:w="55" w:type="dxa"/>
              <w:bottom w:w="55" w:type="dxa"/>
              <w:left w:w="95" w:type="dxa"/>
              <w:right w:w="95" w:type="dxa"/>
            </w:tcMar>
            <w:shd w:fill="F2F5F7"/>
          </w:tcPr>
          <w:p>
            <w:pPr>
              <w:spacing w:after="0" w:line="252" w:lineRule="auto"/>
            </w:pPr>
            <w:r>
              <w:rPr>
                <w:sz w:val="19"/>
              </w:rPr>
              <w:t>Queue, permissions, limits, leases, versions and recovery</w:t>
            </w:r>
          </w:p>
        </w:tc>
        <w:tc>
          <w:tcPr>
            <w:tcW w:type="dxa" w:w="3888"/>
            <w:vAlign w:val="center"/>
            <w:tcMar>
              <w:top w:w="55" w:type="dxa"/>
              <w:bottom w:w="55" w:type="dxa"/>
              <w:left w:w="95" w:type="dxa"/>
              <w:right w:w="95" w:type="dxa"/>
            </w:tcMar>
            <w:shd w:fill="F2F5F7"/>
          </w:tcPr>
          <w:p>
            <w:pPr>
              <w:spacing w:after="0" w:line="252" w:lineRule="auto"/>
            </w:pPr>
            <w:r>
              <w:rPr>
                <w:sz w:val="19"/>
              </w:rPr>
              <w:t>Enforces execution rules in code</w:t>
            </w:r>
          </w:p>
        </w:tc>
      </w:tr>
      <w:tr>
        <w:trPr>
          <w:cantSplit/>
        </w:trPr>
        <w:tc>
          <w:tcPr>
            <w:tcW w:type="dxa" w:w="2016"/>
            <w:vAlign w:val="center"/>
            <w:tcMar>
              <w:top w:w="55" w:type="dxa"/>
              <w:bottom w:w="55" w:type="dxa"/>
              <w:left w:w="95" w:type="dxa"/>
              <w:right w:w="95" w:type="dxa"/>
            </w:tcMar>
          </w:tcPr>
          <w:p>
            <w:pPr>
              <w:spacing w:after="0" w:line="252" w:lineRule="auto"/>
            </w:pPr>
            <w:r>
              <w:rPr>
                <w:sz w:val="19"/>
              </w:rPr>
              <w:t>Evidence store</w:t>
            </w:r>
          </w:p>
        </w:tc>
        <w:tc>
          <w:tcPr>
            <w:tcW w:type="dxa" w:w="3744"/>
            <w:vAlign w:val="center"/>
            <w:tcMar>
              <w:top w:w="55" w:type="dxa"/>
              <w:bottom w:w="55" w:type="dxa"/>
              <w:left w:w="95" w:type="dxa"/>
              <w:right w:w="95" w:type="dxa"/>
            </w:tcMar>
          </w:tcPr>
          <w:p>
            <w:pPr>
              <w:spacing w:after="0" w:line="252" w:lineRule="auto"/>
            </w:pPr>
            <w:r>
              <w:rPr>
                <w:sz w:val="19"/>
              </w:rPr>
              <w:t>Original materials, artifacts, claims and relationships</w:t>
            </w:r>
          </w:p>
        </w:tc>
        <w:tc>
          <w:tcPr>
            <w:tcW w:type="dxa" w:w="3888"/>
            <w:vAlign w:val="center"/>
            <w:tcMar>
              <w:top w:w="55" w:type="dxa"/>
              <w:bottom w:w="55" w:type="dxa"/>
              <w:left w:w="95" w:type="dxa"/>
              <w:right w:w="95" w:type="dxa"/>
            </w:tcMar>
          </w:tcPr>
          <w:p>
            <w:pPr>
              <w:spacing w:after="0" w:line="252" w:lineRule="auto"/>
            </w:pPr>
            <w:r>
              <w:rPr>
                <w:sz w:val="19"/>
              </w:rPr>
              <w:t>Preserves provenance and status history</w:t>
            </w:r>
          </w:p>
        </w:tc>
      </w:tr>
    </w:tbl>
    <w:p>
      <w:pPr>
        <w:spacing w:after="40" w:before="0" w:line="240" w:lineRule="auto"/>
      </w:pPr>
      <w:r>
        <w:rPr>
          <w:sz w:val="4"/>
        </w:rPr>
      </w:r>
    </w:p>
    <w:p>
      <w:r>
        <w:t>The verifier can include an agent that interprets diagnostics, but acceptance depends on configured evidence and check records. The coordinator cannot promote a result merely because workers agree. The runtime applies the acceptance rule and retains its inputs.</w:t>
      </w:r>
    </w:p>
    <w:p>
      <w:r>
        <w:t>A role is a responsibility, not a permanently running process. One agent may execute several nonconflicting roles at different times. For consequential checking, use a fresh reviewer context and a protected verification environment. Fresh context reduces anchoring; it does not guarantee statistically independent model errors.</w:t>
      </w:r>
    </w:p>
    <w:p>
      <w:pPr>
        <w:pStyle w:val="Heading1"/>
        <w:pageBreakBefore/>
      </w:pPr>
      <w:r>
        <w:rPr>
          <w:color w:val="000000"/>
        </w:rPr>
        <w:t>4 Problem contract and topology selection</w:t>
      </w:r>
    </w:p>
    <w:p>
      <w:pPr>
        <w:pStyle w:val="Heading2"/>
      </w:pPr>
      <w:r>
        <w:rPr>
          <w:color w:val="000000"/>
        </w:rPr>
        <w:t>Freeze the question before exploration</w:t>
      </w:r>
    </w:p>
    <w:p>
      <w:r>
        <w:t>Create a versioned contract containing the exact target, definitions, assumptions, permissible variants, exclusions, available evidence, deliverables, acceptance method, and resource limits. Resolve ambiguity that would change the target. For minor operational choices, record an assumption and continue.</w:t>
      </w:r>
    </w:p>
    <w:p>
      <w:r>
        <w:t>For mathematical work, state quantifiers, domain, regularity, boundary conditions and permitted axioms. For experiments, state the hypothesis, dataset, baseline, metric and evaluation split. For literature work, state the scope, source standard, search horizon and required coverage. If novelty matters, make it an explicit objective; a known correct method may be the best answer to a practical problem.</w:t>
      </w:r>
    </w:p>
    <w:p>
      <w:r>
        <w:t>Keep the operational plan separate from the contract. New evidence can change tactics, task allocation and ordering. A change to the question or success criterion creates a new contract version and rechecks affected claims. It must not silently make an unsuccessful attempt appear successful.</w:t>
      </w:r>
    </w:p>
    <w:p>
      <w:pPr>
        <w:pStyle w:val="Heading2"/>
      </w:pPr>
      <w:r>
        <w:rPr>
          <w:color w:val="000000"/>
        </w:rPr>
        <w:t>Select the simplest useful topology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3600"/>
      </w:tblGrid>
      <w:tr>
        <w:trPr>
          <w:cantSplit/>
          <w:tblHeader w:val="true"/>
        </w:trPr>
        <w:tc>
          <w:tcPr>
            <w:tcW w:type="dxa" w:w="2880"/>
            <w:vAlign w:val="center"/>
            <w:tcMar>
              <w:top w:w="55" w:type="dxa"/>
              <w:bottom w:w="55" w:type="dxa"/>
              <w:left w:w="95" w:type="dxa"/>
              <w:right w:w="95" w:type="dxa"/>
            </w:tcMar>
            <w:shd w:fill="36454F"/>
          </w:tcPr>
          <w:p>
            <w:pPr>
              <w:spacing w:after="0" w:line="252" w:lineRule="auto"/>
            </w:pPr>
            <w:r>
              <w:rPr>
                <w:b/>
                <w:color w:val="FFFFFF"/>
                <w:sz w:val="19"/>
              </w:rPr>
              <w:t>Task property</w:t>
            </w:r>
          </w:p>
        </w:tc>
        <w:tc>
          <w:tcPr>
            <w:tcW w:type="dxa" w:w="3168"/>
            <w:vAlign w:val="center"/>
            <w:tcMar>
              <w:top w:w="55" w:type="dxa"/>
              <w:bottom w:w="55" w:type="dxa"/>
              <w:left w:w="95" w:type="dxa"/>
              <w:right w:w="95" w:type="dxa"/>
            </w:tcMar>
            <w:shd w:fill="36454F"/>
          </w:tcPr>
          <w:p>
            <w:pPr>
              <w:spacing w:after="0" w:line="252" w:lineRule="auto"/>
            </w:pPr>
            <w:r>
              <w:rPr>
                <w:b/>
                <w:color w:val="FFFFFF"/>
                <w:sz w:val="19"/>
              </w:rPr>
              <w:t>Initial topology</w:t>
            </w:r>
          </w:p>
        </w:tc>
        <w:tc>
          <w:tcPr>
            <w:tcW w:type="dxa" w:w="3600"/>
            <w:vAlign w:val="center"/>
            <w:tcMar>
              <w:top w:w="55" w:type="dxa"/>
              <w:bottom w:w="55" w:type="dxa"/>
              <w:left w:w="95" w:type="dxa"/>
              <w:right w:w="95" w:type="dxa"/>
            </w:tcMar>
            <w:shd w:fill="36454F"/>
          </w:tcPr>
          <w:p>
            <w:pPr>
              <w:spacing w:after="0" w:line="252" w:lineRule="auto"/>
            </w:pPr>
            <w:r>
              <w:rPr>
                <w:b/>
                <w:color w:val="FFFFFF"/>
                <w:sz w:val="19"/>
              </w:rPr>
              <w:t>Useful parallel work</w:t>
            </w:r>
          </w:p>
        </w:tc>
      </w:tr>
      <w:tr>
        <w:trPr>
          <w:cantSplit/>
        </w:trPr>
        <w:tc>
          <w:tcPr>
            <w:tcW w:type="dxa" w:w="2880"/>
            <w:vAlign w:val="center"/>
            <w:tcMar>
              <w:top w:w="55" w:type="dxa"/>
              <w:bottom w:w="55" w:type="dxa"/>
              <w:left w:w="95" w:type="dxa"/>
              <w:right w:w="95" w:type="dxa"/>
            </w:tcMar>
          </w:tcPr>
          <w:p>
            <w:pPr>
              <w:spacing w:after="0" w:line="252" w:lineRule="auto"/>
            </w:pPr>
            <w:r>
              <w:rPr>
                <w:sz w:val="19"/>
              </w:rPr>
              <w:t>Small factual or ordered task</w:t>
            </w:r>
          </w:p>
        </w:tc>
        <w:tc>
          <w:tcPr>
            <w:tcW w:type="dxa" w:w="3168"/>
            <w:vAlign w:val="center"/>
            <w:tcMar>
              <w:top w:w="55" w:type="dxa"/>
              <w:bottom w:w="55" w:type="dxa"/>
              <w:left w:w="95" w:type="dxa"/>
              <w:right w:w="95" w:type="dxa"/>
            </w:tcMar>
          </w:tcPr>
          <w:p>
            <w:pPr>
              <w:spacing w:after="0" w:line="252" w:lineRule="auto"/>
            </w:pPr>
            <w:r>
              <w:rPr>
                <w:sz w:val="19"/>
              </w:rPr>
              <w:t>One agent</w:t>
            </w:r>
          </w:p>
        </w:tc>
        <w:tc>
          <w:tcPr>
            <w:tcW w:type="dxa" w:w="3600"/>
            <w:vAlign w:val="center"/>
            <w:tcMar>
              <w:top w:w="55" w:type="dxa"/>
              <w:bottom w:w="55" w:type="dxa"/>
              <w:left w:w="95" w:type="dxa"/>
              <w:right w:w="95" w:type="dxa"/>
            </w:tcMar>
          </w:tcPr>
          <w:p>
            <w:pPr>
              <w:spacing w:after="0" w:line="252" w:lineRule="auto"/>
            </w:pPr>
            <w:r>
              <w:rPr>
                <w:sz w:val="19"/>
              </w:rPr>
              <w:t>Independent checks only if needed</w:t>
            </w:r>
          </w:p>
        </w:tc>
      </w:tr>
      <w:tr>
        <w:trPr>
          <w:cantSplit/>
        </w:trPr>
        <w:tc>
          <w:tcPr>
            <w:tcW w:type="dxa" w:w="2880"/>
            <w:vAlign w:val="center"/>
            <w:tcMar>
              <w:top w:w="55" w:type="dxa"/>
              <w:bottom w:w="55" w:type="dxa"/>
              <w:left w:w="95" w:type="dxa"/>
              <w:right w:w="95" w:type="dxa"/>
            </w:tcMar>
            <w:shd w:fill="F2F5F7"/>
          </w:tcPr>
          <w:p>
            <w:pPr>
              <w:spacing w:after="0" w:line="252" w:lineRule="auto"/>
            </w:pPr>
            <w:r>
              <w:rPr>
                <w:sz w:val="19"/>
              </w:rPr>
              <w:t>Broad evidence gathering</w:t>
            </w:r>
          </w:p>
        </w:tc>
        <w:tc>
          <w:tcPr>
            <w:tcW w:type="dxa" w:w="3168"/>
            <w:vAlign w:val="center"/>
            <w:tcMar>
              <w:top w:w="55" w:type="dxa"/>
              <w:bottom w:w="55" w:type="dxa"/>
              <w:left w:w="95" w:type="dxa"/>
              <w:right w:w="95" w:type="dxa"/>
            </w:tcMar>
            <w:shd w:fill="F2F5F7"/>
          </w:tcPr>
          <w:p>
            <w:pPr>
              <w:spacing w:after="0" w:line="252" w:lineRule="auto"/>
            </w:pPr>
            <w:r>
              <w:rPr>
                <w:sz w:val="19"/>
              </w:rPr>
              <w:t>Coordinator with bounded workers</w:t>
            </w:r>
          </w:p>
        </w:tc>
        <w:tc>
          <w:tcPr>
            <w:tcW w:type="dxa" w:w="3600"/>
            <w:vAlign w:val="center"/>
            <w:tcMar>
              <w:top w:w="55" w:type="dxa"/>
              <w:bottom w:w="55" w:type="dxa"/>
              <w:left w:w="95" w:type="dxa"/>
              <w:right w:w="95" w:type="dxa"/>
            </w:tcMar>
            <w:shd w:fill="F2F5F7"/>
          </w:tcPr>
          <w:p>
            <w:pPr>
              <w:spacing w:after="0" w:line="252" w:lineRule="auto"/>
            </w:pPr>
            <w:r>
              <w:rPr>
                <w:sz w:val="19"/>
              </w:rPr>
              <w:t>Different sources, subquestions or regions</w:t>
            </w:r>
          </w:p>
        </w:tc>
      </w:tr>
      <w:tr>
        <w:trPr>
          <w:cantSplit/>
        </w:trPr>
        <w:tc>
          <w:tcPr>
            <w:tcW w:type="dxa" w:w="2880"/>
            <w:vAlign w:val="center"/>
            <w:tcMar>
              <w:top w:w="55" w:type="dxa"/>
              <w:bottom w:w="55" w:type="dxa"/>
              <w:left w:w="95" w:type="dxa"/>
              <w:right w:w="95" w:type="dxa"/>
            </w:tcMar>
          </w:tcPr>
          <w:p>
            <w:pPr>
              <w:spacing w:after="0" w:line="252" w:lineRule="auto"/>
            </w:pPr>
            <w:r>
              <w:rPr>
                <w:sz w:val="19"/>
              </w:rPr>
              <w:t>Competing scientific explanations</w:t>
            </w:r>
          </w:p>
        </w:tc>
        <w:tc>
          <w:tcPr>
            <w:tcW w:type="dxa" w:w="3168"/>
            <w:vAlign w:val="center"/>
            <w:tcMar>
              <w:top w:w="55" w:type="dxa"/>
              <w:bottom w:w="55" w:type="dxa"/>
              <w:left w:w="95" w:type="dxa"/>
              <w:right w:w="95" w:type="dxa"/>
            </w:tcMar>
          </w:tcPr>
          <w:p>
            <w:pPr>
              <w:spacing w:after="0" w:line="252" w:lineRule="auto"/>
            </w:pPr>
            <w:r>
              <w:rPr>
                <w:sz w:val="19"/>
              </w:rPr>
              <w:t>Independent initial branches with later consolidation</w:t>
            </w:r>
          </w:p>
        </w:tc>
        <w:tc>
          <w:tcPr>
            <w:tcW w:type="dxa" w:w="3600"/>
            <w:vAlign w:val="center"/>
            <w:tcMar>
              <w:top w:w="55" w:type="dxa"/>
              <w:bottom w:w="55" w:type="dxa"/>
              <w:left w:w="95" w:type="dxa"/>
              <w:right w:w="95" w:type="dxa"/>
            </w:tcMar>
          </w:tcPr>
          <w:p>
            <w:pPr>
              <w:spacing w:after="0" w:line="252" w:lineRule="auto"/>
            </w:pPr>
            <w:r>
              <w:rPr>
                <w:sz w:val="19"/>
              </w:rPr>
              <w:t>Distinct hypotheses and discriminating tests</w:t>
            </w:r>
          </w:p>
        </w:tc>
      </w:tr>
      <w:tr>
        <w:trPr>
          <w:cantSplit/>
        </w:trPr>
        <w:tc>
          <w:tcPr>
            <w:tcW w:type="dxa" w:w="2880"/>
            <w:vAlign w:val="center"/>
            <w:tcMar>
              <w:top w:w="55" w:type="dxa"/>
              <w:bottom w:w="55" w:type="dxa"/>
              <w:left w:w="95" w:type="dxa"/>
              <w:right w:w="95" w:type="dxa"/>
            </w:tcMar>
            <w:shd w:fill="F2F5F7"/>
          </w:tcPr>
          <w:p>
            <w:pPr>
              <w:spacing w:after="0" w:line="252" w:lineRule="auto"/>
            </w:pPr>
            <w:r>
              <w:rPr>
                <w:sz w:val="19"/>
              </w:rPr>
              <w:t>Long dependent proof</w:t>
            </w:r>
          </w:p>
        </w:tc>
        <w:tc>
          <w:tcPr>
            <w:tcW w:type="dxa" w:w="3168"/>
            <w:vAlign w:val="center"/>
            <w:tcMar>
              <w:top w:w="55" w:type="dxa"/>
              <w:bottom w:w="55" w:type="dxa"/>
              <w:left w:w="95" w:type="dxa"/>
              <w:right w:w="95" w:type="dxa"/>
            </w:tcMar>
            <w:shd w:fill="F2F5F7"/>
          </w:tcPr>
          <w:p>
            <w:pPr>
              <w:spacing w:after="0" w:line="252" w:lineRule="auto"/>
            </w:pPr>
            <w:r>
              <w:rPr>
                <w:sz w:val="19"/>
              </w:rPr>
              <w:t>One argument owner plus specialists</w:t>
            </w:r>
          </w:p>
        </w:tc>
        <w:tc>
          <w:tcPr>
            <w:tcW w:type="dxa" w:w="3600"/>
            <w:vAlign w:val="center"/>
            <w:tcMar>
              <w:top w:w="55" w:type="dxa"/>
              <w:bottom w:w="55" w:type="dxa"/>
              <w:left w:w="95" w:type="dxa"/>
              <w:right w:w="95" w:type="dxa"/>
            </w:tcMar>
            <w:shd w:fill="F2F5F7"/>
          </w:tcPr>
          <w:p>
            <w:pPr>
              <w:spacing w:after="0" w:line="252" w:lineRule="auto"/>
            </w:pPr>
            <w:r>
              <w:rPr>
                <w:sz w:val="19"/>
              </w:rPr>
              <w:t>Lemmas, counterexamples, bibliography and formalization</w:t>
            </w:r>
          </w:p>
        </w:tc>
      </w:tr>
      <w:tr>
        <w:trPr>
          <w:cantSplit/>
        </w:trPr>
        <w:tc>
          <w:tcPr>
            <w:tcW w:type="dxa" w:w="2880"/>
            <w:vAlign w:val="center"/>
            <w:tcMar>
              <w:top w:w="55" w:type="dxa"/>
              <w:bottom w:w="55" w:type="dxa"/>
              <w:left w:w="95" w:type="dxa"/>
              <w:right w:w="95" w:type="dxa"/>
            </w:tcMar>
          </w:tcPr>
          <w:p>
            <w:pPr>
              <w:spacing w:after="0" w:line="252" w:lineRule="auto"/>
            </w:pPr>
            <w:r>
              <w:rPr>
                <w:sz w:val="19"/>
              </w:rPr>
              <w:t>Computational exploration</w:t>
            </w:r>
          </w:p>
        </w:tc>
        <w:tc>
          <w:tcPr>
            <w:tcW w:type="dxa" w:w="3168"/>
            <w:vAlign w:val="center"/>
            <w:tcMar>
              <w:top w:w="55" w:type="dxa"/>
              <w:bottom w:w="55" w:type="dxa"/>
              <w:left w:w="95" w:type="dxa"/>
              <w:right w:w="95" w:type="dxa"/>
            </w:tcMar>
          </w:tcPr>
          <w:p>
            <w:pPr>
              <w:spacing w:after="0" w:line="252" w:lineRule="auto"/>
            </w:pPr>
            <w:r>
              <w:rPr>
                <w:sz w:val="19"/>
              </w:rPr>
              <w:t>Experiment manager with versioned branches</w:t>
            </w:r>
          </w:p>
        </w:tc>
        <w:tc>
          <w:tcPr>
            <w:tcW w:type="dxa" w:w="3600"/>
            <w:vAlign w:val="center"/>
            <w:tcMar>
              <w:top w:w="55" w:type="dxa"/>
              <w:bottom w:w="55" w:type="dxa"/>
              <w:left w:w="95" w:type="dxa"/>
              <w:right w:w="95" w:type="dxa"/>
            </w:tcMar>
          </w:tcPr>
          <w:p>
            <w:pPr>
              <w:spacing w:after="0" w:line="252" w:lineRule="auto"/>
            </w:pPr>
            <w:r>
              <w:rPr>
                <w:sz w:val="19"/>
              </w:rPr>
              <w:t>Candidate methods or parameters with separate environments</w:t>
            </w:r>
          </w:p>
        </w:tc>
      </w:tr>
      <w:tr>
        <w:trPr>
          <w:cantSplit/>
        </w:trPr>
        <w:tc>
          <w:tcPr>
            <w:tcW w:type="dxa" w:w="2880"/>
            <w:vAlign w:val="center"/>
            <w:tcMar>
              <w:top w:w="55" w:type="dxa"/>
              <w:bottom w:w="55" w:type="dxa"/>
              <w:left w:w="95" w:type="dxa"/>
              <w:right w:w="95" w:type="dxa"/>
            </w:tcMar>
            <w:shd w:fill="F2F5F7"/>
          </w:tcPr>
          <w:p>
            <w:pPr>
              <w:spacing w:after="0" w:line="252" w:lineRule="auto"/>
            </w:pPr>
            <w:r>
              <w:rPr>
                <w:sz w:val="19"/>
              </w:rPr>
              <w:t>Shared mutable implementation</w:t>
            </w:r>
          </w:p>
        </w:tc>
        <w:tc>
          <w:tcPr>
            <w:tcW w:type="dxa" w:w="3168"/>
            <w:vAlign w:val="center"/>
            <w:tcMar>
              <w:top w:w="55" w:type="dxa"/>
              <w:bottom w:w="55" w:type="dxa"/>
              <w:left w:w="95" w:type="dxa"/>
              <w:right w:w="95" w:type="dxa"/>
            </w:tcMar>
            <w:shd w:fill="F2F5F7"/>
          </w:tcPr>
          <w:p>
            <w:pPr>
              <w:spacing w:after="0" w:line="252" w:lineRule="auto"/>
            </w:pPr>
            <w:r>
              <w:rPr>
                <w:sz w:val="19"/>
              </w:rPr>
              <w:t>Explicit ownership and controlled integration</w:t>
            </w:r>
          </w:p>
        </w:tc>
        <w:tc>
          <w:tcPr>
            <w:tcW w:type="dxa" w:w="3600"/>
            <w:vAlign w:val="center"/>
            <w:tcMar>
              <w:top w:w="55" w:type="dxa"/>
              <w:bottom w:w="55" w:type="dxa"/>
              <w:left w:w="95" w:type="dxa"/>
              <w:right w:w="95" w:type="dxa"/>
            </w:tcMar>
            <w:shd w:fill="F2F5F7"/>
          </w:tcPr>
          <w:p>
            <w:pPr>
              <w:spacing w:after="0" w:line="252" w:lineRule="auto"/>
            </w:pPr>
            <w:r>
              <w:rPr>
                <w:sz w:val="19"/>
              </w:rPr>
              <w:t>Different modules or disjoint changes</w:t>
            </w:r>
          </w:p>
        </w:tc>
      </w:tr>
    </w:tbl>
    <w:p>
      <w:pPr>
        <w:spacing w:after="40" w:before="0" w:line="240" w:lineRule="auto"/>
      </w:pPr>
      <w:r>
        <w:rPr>
          <w:sz w:val="4"/>
        </w:rPr>
      </w:r>
    </w:p>
    <w:p>
      <w:r>
        <w:t>Default to one level of delegation. Workers request additional tasks from the coordinator. Add deeper hierarchy only when workload and evaluation demonstrate a benefit. Avoid assigning the same indivisible dependency to many workers unless deliberate replication is the objective.</w:t>
      </w:r>
    </w:p>
    <w:p>
      <w:r>
        <w:t>Start with a capability check. Confirm the actual model, sources, execution environment, tool permissions, storage, and concurrency. If parallel execution is unavailable, use the same record and review procedure sequentially and say so. A prompt instructing several personas does not create a real multi-agent runtime.</w:t>
      </w:r>
    </w:p>
    <w:p>
      <w:pPr>
        <w:pStyle w:val="Heading1"/>
        <w:pageBreakBefore/>
      </w:pPr>
      <w:r>
        <w:rPr>
          <w:color w:val="000000"/>
        </w:rPr>
        <w:t>5 Research lifecycle</w:t>
      </w:r>
    </w:p>
    <w:p>
      <w:pPr>
        <w:pStyle w:val="Heading2"/>
      </w:pPr>
      <w:r>
        <w:rPr>
          <w:color w:val="000000"/>
        </w:rPr>
        <w:t>A bounded cycle</w:t>
      </w:r>
    </w:p>
    <w:p>
      <w:r>
        <w:t>1. Intake. Validate the contract and capabilities. Record existing work and establish the baseline.</w:t>
      </w:r>
    </w:p>
    <w:p>
      <w:r>
        <w:t>2. Plan. Identify uncertainties, dependencies, alternative approaches and the next observable evidence.</w:t>
      </w:r>
    </w:p>
    <w:p>
      <w:r>
        <w:t>3. Explore. Run bounded tasks with separate contexts and explicit ownership.</w:t>
      </w:r>
    </w:p>
    <w:p>
      <w:r>
        <w:t>4. Persist. Save original outputs, artifact versions, evidence links, assumptions and failed attempts.</w:t>
      </w:r>
    </w:p>
    <w:p>
      <w:r>
        <w:t>5. Screen. Check task completion, missing fields, obvious contradiction and duplication.</w:t>
      </w:r>
    </w:p>
    <w:p>
      <w:r>
        <w:t>6. Review. Critique candidates against the contract. Identify the cheapest useful checks.</w:t>
      </w:r>
    </w:p>
    <w:p>
      <w:r>
        <w:t>7. Verify. Run the configured checks. Record their scope and results separately from opinions.</w:t>
      </w:r>
    </w:p>
    <w:p>
      <w:r>
        <w:t>8. Consolidate. Share useful findings, objections, informative failures and remaining gaps.</w:t>
      </w:r>
    </w:p>
    <w:p>
      <w:r>
        <w:t>9. Allocate. Continue, revise, fork, retire or reproduce a branch according to evidence and remaining resources.</w:t>
      </w:r>
    </w:p>
    <w:p>
      <w:r>
        <w:t>10. Report. Deliver accepted results, tentative candidates, exclusions, unresolved questions and a reproducible next step.</w:t>
      </w:r>
    </w:p>
    <w:p>
      <w:r>
        <w:t>The cycle may revisit earlier stages. A proof failure can trigger a new lemma task. A conflicting source can trigger a narrower literature search. A null experiment can change which hypothesis deserves attention.</w:t>
      </w:r>
    </w:p>
    <w:p>
      <w:pPr>
        <w:pStyle w:val="Heading2"/>
      </w:pPr>
      <w:r>
        <w:rPr>
          <w:color w:val="000000"/>
        </w:rPr>
        <w:t>Keep task completion separate from research success</w:t>
      </w:r>
    </w:p>
    <w:p>
      <w:r>
        <w:t>A worker completes a task by durably submitting the requested result and artifacts. A failed experiment can complete its execution task successfully. It may refute a prediction, expose an implementation error, or remain inconclusive. None of those outcomes automatically settles the main problem.</w:t>
      </w:r>
    </w:p>
    <w:p>
      <w:r>
        <w:t>The acceptance procedure references the exact contract version, artifact version, dependency versions and check configuration. Acceptance is scoped: a result may be accepted as a supported observation while remaining insufficient to establish the overall hypothesis.</w:t>
      </w:r>
    </w:p>
    <w:p>
      <w:pPr>
        <w:pStyle w:val="Heading2"/>
      </w:pPr>
      <w:r>
        <w:rPr>
          <w:color w:val="000000"/>
        </w:rPr>
        <w:t>Checkpoints</w:t>
      </w:r>
    </w:p>
    <w:p>
      <w:r>
        <w:t>Consolidate when a branch produces useful evidence, a major contradiction appears, dependencies change, or a bounded work interval ends. Do not wait indefinitely for every worker. Inspect completed work and reassign only tasks whose leases have expired or whose owners have explicitly released them.</w:t>
      </w:r>
    </w:p>
    <w:p>
      <w:r>
        <w:t>Each checkpoint records current findings, unresolved objections, cost, remaining budget, next tasks and the reason for continuing. A status summary must retain uncertainty. Repetition of a claim across agents does not add independent evidence.</w:t>
      </w:r>
    </w:p>
    <w:p>
      <w:pPr>
        <w:pStyle w:val="Heading1"/>
        <w:pageBreakBefore/>
      </w:pPr>
      <w:r>
        <w:rPr>
          <w:color w:val="000000"/>
        </w:rPr>
        <w:t>6 Records and evidence state</w:t>
      </w:r>
    </w:p>
    <w:p>
      <w:pPr>
        <w:pStyle w:val="Heading2"/>
      </w:pPr>
      <w:r>
        <w:rPr>
          <w:color w:val="000000"/>
        </w:rPr>
        <w:t>Minimal persistent records</w:t>
      </w:r>
    </w:p>
    <w:p>
      <w:r>
        <w:t>Use stable identifiers and versioned records. A relational database plus files is sufficient for a first implementation. Relationships among shared evidence, lemmas and candidates form a graph; parent candidate links can still represent experimental 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632"/>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Record</w:t>
            </w:r>
          </w:p>
        </w:tc>
        <w:tc>
          <w:tcPr>
            <w:tcW w:type="dxa" w:w="7632"/>
            <w:vAlign w:val="center"/>
            <w:tcMar>
              <w:top w:w="55" w:type="dxa"/>
              <w:bottom w:w="55" w:type="dxa"/>
              <w:left w:w="95" w:type="dxa"/>
              <w:right w:w="95" w:type="dxa"/>
            </w:tcMar>
            <w:shd w:fill="36454F"/>
          </w:tcPr>
          <w:p>
            <w:pPr>
              <w:spacing w:after="0" w:line="252" w:lineRule="auto"/>
            </w:pPr>
            <w:r>
              <w:rPr>
                <w:b/>
                <w:color w:val="FFFFFF"/>
                <w:sz w:val="19"/>
              </w:rPr>
              <w:t>Required fields</w:t>
            </w:r>
          </w:p>
        </w:tc>
      </w:tr>
      <w:tr>
        <w:trPr>
          <w:cantSplit/>
        </w:trPr>
        <w:tc>
          <w:tcPr>
            <w:tcW w:type="dxa" w:w="2016"/>
            <w:vAlign w:val="center"/>
            <w:tcMar>
              <w:top w:w="55" w:type="dxa"/>
              <w:bottom w:w="55" w:type="dxa"/>
              <w:left w:w="95" w:type="dxa"/>
              <w:right w:w="95" w:type="dxa"/>
            </w:tcMar>
          </w:tcPr>
          <w:p>
            <w:pPr>
              <w:spacing w:after="0" w:line="252" w:lineRule="auto"/>
            </w:pPr>
            <w:r>
              <w:rPr>
                <w:sz w:val="19"/>
              </w:rPr>
              <w:t>Contract</w:t>
            </w:r>
          </w:p>
        </w:tc>
        <w:tc>
          <w:tcPr>
            <w:tcW w:type="dxa" w:w="7632"/>
            <w:vAlign w:val="center"/>
            <w:tcMar>
              <w:top w:w="55" w:type="dxa"/>
              <w:bottom w:w="55" w:type="dxa"/>
              <w:left w:w="95" w:type="dxa"/>
              <w:right w:w="95" w:type="dxa"/>
            </w:tcMar>
          </w:tcPr>
          <w:p>
            <w:pPr>
              <w:spacing w:after="0" w:line="252" w:lineRule="auto"/>
            </w:pPr>
            <w:r>
              <w:rPr>
                <w:sz w:val="19"/>
              </w:rPr>
              <w:t>ID, version, goal, definitions, assumptions, scope, acceptance policy, limits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Task</w:t>
            </w:r>
          </w:p>
        </w:tc>
        <w:tc>
          <w:tcPr>
            <w:tcW w:type="dxa" w:w="7632"/>
            <w:vAlign w:val="center"/>
            <w:tcMar>
              <w:top w:w="55" w:type="dxa"/>
              <w:bottom w:w="55" w:type="dxa"/>
              <w:left w:w="95" w:type="dxa"/>
              <w:right w:w="95" w:type="dxa"/>
            </w:tcMar>
            <w:shd w:fill="F2F5F7"/>
          </w:tcPr>
          <w:p>
            <w:pPr>
              <w:spacing w:after="0" w:line="252" w:lineRule="auto"/>
            </w:pPr>
            <w:r>
              <w:rPr>
                <w:sz w:val="19"/>
              </w:rPr>
              <w:t>ID, contract version, objective, owner, dependencies, supplied evidence, tools, budget, lease, completion rule</w:t>
            </w:r>
          </w:p>
        </w:tc>
      </w:tr>
      <w:tr>
        <w:trPr>
          <w:cantSplit/>
        </w:trPr>
        <w:tc>
          <w:tcPr>
            <w:tcW w:type="dxa" w:w="2016"/>
            <w:vAlign w:val="center"/>
            <w:tcMar>
              <w:top w:w="55" w:type="dxa"/>
              <w:bottom w:w="55" w:type="dxa"/>
              <w:left w:w="95" w:type="dxa"/>
              <w:right w:w="95" w:type="dxa"/>
            </w:tcMar>
          </w:tcPr>
          <w:p>
            <w:pPr>
              <w:spacing w:after="0" w:line="252" w:lineRule="auto"/>
            </w:pPr>
            <w:r>
              <w:rPr>
                <w:sz w:val="19"/>
              </w:rPr>
              <w:t>Candidate</w:t>
            </w:r>
          </w:p>
        </w:tc>
        <w:tc>
          <w:tcPr>
            <w:tcW w:type="dxa" w:w="7632"/>
            <w:vAlign w:val="center"/>
            <w:tcMar>
              <w:top w:w="55" w:type="dxa"/>
              <w:bottom w:w="55" w:type="dxa"/>
              <w:left w:w="95" w:type="dxa"/>
              <w:right w:w="95" w:type="dxa"/>
            </w:tcMar>
          </w:tcPr>
          <w:p>
            <w:pPr>
              <w:spacing w:after="0" w:line="252" w:lineRule="auto"/>
            </w:pPr>
            <w:r>
              <w:rPr>
                <w:sz w:val="19"/>
              </w:rPr>
              <w:t>ID, version, parent IDs, claim, assumptions, evidence IDs, objections, proposed checks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Artifact</w:t>
            </w:r>
          </w:p>
        </w:tc>
        <w:tc>
          <w:tcPr>
            <w:tcW w:type="dxa" w:w="7632"/>
            <w:vAlign w:val="center"/>
            <w:tcMar>
              <w:top w:w="55" w:type="dxa"/>
              <w:bottom w:w="55" w:type="dxa"/>
              <w:left w:w="95" w:type="dxa"/>
              <w:right w:w="95" w:type="dxa"/>
            </w:tcMar>
            <w:shd w:fill="F2F5F7"/>
          </w:tcPr>
          <w:p>
            <w:pPr>
              <w:spacing w:after="0" w:line="252" w:lineRule="auto"/>
            </w:pPr>
            <w:r>
              <w:rPr>
                <w:sz w:val="19"/>
              </w:rPr>
              <w:t>ID, content hash, path, producer task, type, creation time, environment and data versions</w:t>
            </w:r>
          </w:p>
        </w:tc>
      </w:tr>
      <w:tr>
        <w:trPr>
          <w:cantSplit/>
        </w:trPr>
        <w:tc>
          <w:tcPr>
            <w:tcW w:type="dxa" w:w="2016"/>
            <w:vAlign w:val="center"/>
            <w:tcMar>
              <w:top w:w="55" w:type="dxa"/>
              <w:bottom w:w="55" w:type="dxa"/>
              <w:left w:w="95" w:type="dxa"/>
              <w:right w:w="95" w:type="dxa"/>
            </w:tcMar>
          </w:tcPr>
          <w:p>
            <w:pPr>
              <w:spacing w:after="0" w:line="252" w:lineRule="auto"/>
            </w:pPr>
            <w:r>
              <w:rPr>
                <w:sz w:val="19"/>
              </w:rPr>
              <w:t>Source</w:t>
            </w:r>
          </w:p>
        </w:tc>
        <w:tc>
          <w:tcPr>
            <w:tcW w:type="dxa" w:w="7632"/>
            <w:vAlign w:val="center"/>
            <w:tcMar>
              <w:top w:w="55" w:type="dxa"/>
              <w:bottom w:w="55" w:type="dxa"/>
              <w:left w:w="95" w:type="dxa"/>
              <w:right w:w="95" w:type="dxa"/>
            </w:tcMar>
          </w:tcPr>
          <w:p>
            <w:pPr>
              <w:spacing w:after="0" w:line="252" w:lineRule="auto"/>
            </w:pPr>
            <w:r>
              <w:rPr>
                <w:sz w:val="19"/>
              </w:rPr>
              <w:t>ID, URL or file, author, version, retrieval date, exact locator, access limits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Run</w:t>
            </w:r>
          </w:p>
        </w:tc>
        <w:tc>
          <w:tcPr>
            <w:tcW w:type="dxa" w:w="7632"/>
            <w:vAlign w:val="center"/>
            <w:tcMar>
              <w:top w:w="55" w:type="dxa"/>
              <w:bottom w:w="55" w:type="dxa"/>
              <w:left w:w="95" w:type="dxa"/>
              <w:right w:w="95" w:type="dxa"/>
            </w:tcMar>
            <w:shd w:fill="F2F5F7"/>
          </w:tcPr>
          <w:p>
            <w:pPr>
              <w:spacing w:after="0" w:line="252" w:lineRule="auto"/>
            </w:pPr>
            <w:r>
              <w:rPr>
                <w:sz w:val="19"/>
              </w:rPr>
              <w:t>ID, task, planned settings, actual settings, seeds, environment, outputs, exclusions and costs</w:t>
            </w:r>
          </w:p>
        </w:tc>
      </w:tr>
      <w:tr>
        <w:trPr>
          <w:cantSplit/>
        </w:trPr>
        <w:tc>
          <w:tcPr>
            <w:tcW w:type="dxa" w:w="2016"/>
            <w:vAlign w:val="center"/>
            <w:tcMar>
              <w:top w:w="55" w:type="dxa"/>
              <w:bottom w:w="55" w:type="dxa"/>
              <w:left w:w="95" w:type="dxa"/>
              <w:right w:w="95" w:type="dxa"/>
            </w:tcMar>
          </w:tcPr>
          <w:p>
            <w:pPr>
              <w:spacing w:after="0" w:line="252" w:lineRule="auto"/>
            </w:pPr>
            <w:r>
              <w:rPr>
                <w:sz w:val="19"/>
              </w:rPr>
              <w:t>Review</w:t>
            </w:r>
          </w:p>
        </w:tc>
        <w:tc>
          <w:tcPr>
            <w:tcW w:type="dxa" w:w="7632"/>
            <w:vAlign w:val="center"/>
            <w:tcMar>
              <w:top w:w="55" w:type="dxa"/>
              <w:bottom w:w="55" w:type="dxa"/>
              <w:left w:w="95" w:type="dxa"/>
              <w:right w:w="95" w:type="dxa"/>
            </w:tcMar>
          </w:tcPr>
          <w:p>
            <w:pPr>
              <w:spacing w:after="0" w:line="252" w:lineRule="auto"/>
            </w:pPr>
            <w:r>
              <w:rPr>
                <w:sz w:val="19"/>
              </w:rPr>
              <w:t>ID, candidate version, rubric, findings, unresolved objections, reviewer and recommendation</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Check</w:t>
            </w:r>
          </w:p>
        </w:tc>
        <w:tc>
          <w:tcPr>
            <w:tcW w:type="dxa" w:w="7632"/>
            <w:vAlign w:val="center"/>
            <w:tcMar>
              <w:top w:w="55" w:type="dxa"/>
              <w:bottom w:w="55" w:type="dxa"/>
              <w:left w:w="95" w:type="dxa"/>
              <w:right w:w="95" w:type="dxa"/>
            </w:tcMar>
            <w:shd w:fill="F2F5F7"/>
          </w:tcPr>
          <w:p>
            <w:pPr>
              <w:spacing w:after="0" w:line="252" w:lineRule="auto"/>
            </w:pPr>
            <w:r>
              <w:rPr>
                <w:sz w:val="19"/>
              </w:rPr>
              <w:t>ID, artifact version, contract version, checker version, inputs, outcome, scope, diagnostics</w:t>
            </w:r>
          </w:p>
        </w:tc>
      </w:tr>
      <w:tr>
        <w:trPr>
          <w:cantSplit/>
        </w:trPr>
        <w:tc>
          <w:tcPr>
            <w:tcW w:type="dxa" w:w="2016"/>
            <w:vAlign w:val="center"/>
            <w:tcMar>
              <w:top w:w="55" w:type="dxa"/>
              <w:bottom w:w="55" w:type="dxa"/>
              <w:left w:w="95" w:type="dxa"/>
              <w:right w:w="95" w:type="dxa"/>
            </w:tcMar>
          </w:tcPr>
          <w:p>
            <w:pPr>
              <w:spacing w:after="0" w:line="252" w:lineRule="auto"/>
            </w:pPr>
            <w:r>
              <w:rPr>
                <w:sz w:val="19"/>
              </w:rPr>
              <w:t>Decision</w:t>
            </w:r>
          </w:p>
        </w:tc>
        <w:tc>
          <w:tcPr>
            <w:tcW w:type="dxa" w:w="7632"/>
            <w:vAlign w:val="center"/>
            <w:tcMar>
              <w:top w:w="55" w:type="dxa"/>
              <w:bottom w:w="55" w:type="dxa"/>
              <w:left w:w="95" w:type="dxa"/>
              <w:right w:w="95" w:type="dxa"/>
            </w:tcMar>
          </w:tcPr>
          <w:p>
            <w:pPr>
              <w:spacing w:after="0" w:line="252" w:lineRule="auto"/>
            </w:pPr>
            <w:r>
              <w:rPr>
                <w:sz w:val="19"/>
              </w:rPr>
              <w:t>ID, candidate version, accepted scope, check IDs, authority, timestamp, superseded decision</w:t>
            </w:r>
          </w:p>
        </w:tc>
      </w:tr>
    </w:tbl>
    <w:p>
      <w:pPr>
        <w:spacing w:after="40" w:before="0" w:line="240" w:lineRule="auto"/>
      </w:pPr>
      <w:r>
        <w:rPr>
          <w:sz w:val="4"/>
        </w:rPr>
      </w:r>
    </w:p>
    <w:p>
      <w:pPr>
        <w:pStyle w:val="Heading2"/>
      </w:pPr>
      <w:r>
        <w:rPr>
          <w:color w:val="000000"/>
        </w:rPr>
        <w:t>Orthogonal status fields</w:t>
      </w:r>
    </w:p>
    <w:p>
      <w:r>
        <w:t>Use separate fields rather than a single overloaded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960"/>
        <w:gridCol w:w="4032"/>
      </w:tblGrid>
      <w:tr>
        <w:trPr>
          <w:cantSplit/>
          <w:tblHeader w:val="true"/>
        </w:trPr>
        <w:tc>
          <w:tcPr>
            <w:tcW w:type="dxa" w:w="1656"/>
            <w:vAlign w:val="center"/>
            <w:tcMar>
              <w:top w:w="55" w:type="dxa"/>
              <w:bottom w:w="55" w:type="dxa"/>
              <w:left w:w="95" w:type="dxa"/>
              <w:right w:w="95" w:type="dxa"/>
            </w:tcMar>
            <w:shd w:fill="36454F"/>
          </w:tcPr>
          <w:p>
            <w:pPr>
              <w:spacing w:after="0" w:line="252" w:lineRule="auto"/>
            </w:pPr>
            <w:r>
              <w:rPr>
                <w:b/>
                <w:color w:val="FFFFFF"/>
                <w:sz w:val="19"/>
              </w:rPr>
              <w:t>Axis</w:t>
            </w:r>
          </w:p>
        </w:tc>
        <w:tc>
          <w:tcPr>
            <w:tcW w:type="dxa" w:w="3960"/>
            <w:vAlign w:val="center"/>
            <w:tcMar>
              <w:top w:w="55" w:type="dxa"/>
              <w:bottom w:w="55" w:type="dxa"/>
              <w:left w:w="95" w:type="dxa"/>
              <w:right w:w="95" w:type="dxa"/>
            </w:tcMar>
            <w:shd w:fill="36454F"/>
          </w:tcPr>
          <w:p>
            <w:pPr>
              <w:spacing w:after="0" w:line="252" w:lineRule="auto"/>
            </w:pPr>
            <w:r>
              <w:rPr>
                <w:b/>
                <w:color w:val="FFFFFF"/>
                <w:sz w:val="19"/>
              </w:rPr>
              <w:t>Allowed values</w:t>
            </w:r>
          </w:p>
        </w:tc>
        <w:tc>
          <w:tcPr>
            <w:tcW w:type="dxa" w:w="4032"/>
            <w:vAlign w:val="center"/>
            <w:tcMar>
              <w:top w:w="55" w:type="dxa"/>
              <w:bottom w:w="55" w:type="dxa"/>
              <w:left w:w="95" w:type="dxa"/>
              <w:right w:w="95" w:type="dxa"/>
            </w:tcMar>
            <w:shd w:fill="36454F"/>
          </w:tcPr>
          <w:p>
            <w:pPr>
              <w:spacing w:after="0" w:line="252" w:lineRule="auto"/>
            </w:pPr>
            <w:r>
              <w:rPr>
                <w:b/>
                <w:color w:val="FFFFFF"/>
                <w:sz w:val="19"/>
              </w:rPr>
              <w:t>Meaning</w:t>
            </w:r>
          </w:p>
        </w:tc>
      </w:tr>
      <w:tr>
        <w:trPr>
          <w:cantSplit/>
        </w:trPr>
        <w:tc>
          <w:tcPr>
            <w:tcW w:type="dxa" w:w="1656"/>
            <w:vAlign w:val="center"/>
            <w:tcMar>
              <w:top w:w="55" w:type="dxa"/>
              <w:bottom w:w="55" w:type="dxa"/>
              <w:left w:w="95" w:type="dxa"/>
              <w:right w:w="95" w:type="dxa"/>
            </w:tcMar>
          </w:tcPr>
          <w:p>
            <w:pPr>
              <w:spacing w:after="0" w:line="252" w:lineRule="auto"/>
            </w:pPr>
            <w:r>
              <w:rPr>
                <w:sz w:val="19"/>
              </w:rPr>
              <w:t>Task</w:t>
            </w:r>
          </w:p>
        </w:tc>
        <w:tc>
          <w:tcPr>
            <w:tcW w:type="dxa" w:w="3960"/>
            <w:vAlign w:val="center"/>
            <w:tcMar>
              <w:top w:w="55" w:type="dxa"/>
              <w:bottom w:w="55" w:type="dxa"/>
              <w:left w:w="95" w:type="dxa"/>
              <w:right w:w="95" w:type="dxa"/>
            </w:tcMar>
          </w:tcPr>
          <w:p>
            <w:pPr>
              <w:spacing w:after="0" w:line="252" w:lineRule="auto"/>
            </w:pPr>
            <w:r>
              <w:rPr>
                <w:sz w:val="19"/>
              </w:rPr>
              <w:t>queued, leased, running, submitted, completed, failed, cancelled</w:t>
            </w:r>
          </w:p>
        </w:tc>
        <w:tc>
          <w:tcPr>
            <w:tcW w:type="dxa" w:w="4032"/>
            <w:vAlign w:val="center"/>
            <w:tcMar>
              <w:top w:w="55" w:type="dxa"/>
              <w:bottom w:w="55" w:type="dxa"/>
              <w:left w:w="95" w:type="dxa"/>
              <w:right w:w="95" w:type="dxa"/>
            </w:tcMar>
          </w:tcPr>
          <w:p>
            <w:pPr>
              <w:spacing w:after="0" w:line="252" w:lineRule="auto"/>
            </w:pPr>
            <w:r>
              <w:rPr>
                <w:sz w:val="19"/>
              </w:rPr>
              <w:t>Execution ownership and delivery</w:t>
            </w:r>
          </w:p>
        </w:tc>
      </w:tr>
      <w:tr>
        <w:trPr>
          <w:cantSplit/>
        </w:trPr>
        <w:tc>
          <w:tcPr>
            <w:tcW w:type="dxa" w:w="1656"/>
            <w:vAlign w:val="center"/>
            <w:tcMar>
              <w:top w:w="55" w:type="dxa"/>
              <w:bottom w:w="55" w:type="dxa"/>
              <w:left w:w="95" w:type="dxa"/>
              <w:right w:w="95" w:type="dxa"/>
            </w:tcMar>
            <w:shd w:fill="F2F5F7"/>
          </w:tcPr>
          <w:p>
            <w:pPr>
              <w:spacing w:after="0" w:line="252" w:lineRule="auto"/>
            </w:pPr>
            <w:r>
              <w:rPr>
                <w:sz w:val="19"/>
              </w:rPr>
              <w:t>Execution</w:t>
            </w:r>
          </w:p>
        </w:tc>
        <w:tc>
          <w:tcPr>
            <w:tcW w:type="dxa" w:w="3960"/>
            <w:vAlign w:val="center"/>
            <w:tcMar>
              <w:top w:w="55" w:type="dxa"/>
              <w:bottom w:w="55" w:type="dxa"/>
              <w:left w:w="95" w:type="dxa"/>
              <w:right w:w="95" w:type="dxa"/>
            </w:tcMar>
            <w:shd w:fill="F2F5F7"/>
          </w:tcPr>
          <w:p>
            <w:pPr>
              <w:spacing w:after="0" w:line="252" w:lineRule="auto"/>
            </w:pPr>
            <w:r>
              <w:rPr>
                <w:sz w:val="19"/>
              </w:rPr>
              <w:t>not run, running, completed, error</w:t>
            </w:r>
          </w:p>
        </w:tc>
        <w:tc>
          <w:tcPr>
            <w:tcW w:type="dxa" w:w="4032"/>
            <w:vAlign w:val="center"/>
            <w:tcMar>
              <w:top w:w="55" w:type="dxa"/>
              <w:bottom w:w="55" w:type="dxa"/>
              <w:left w:w="95" w:type="dxa"/>
              <w:right w:w="95" w:type="dxa"/>
            </w:tcMar>
            <w:shd w:fill="F2F5F7"/>
          </w:tcPr>
          <w:p>
            <w:pPr>
              <w:spacing w:after="0" w:line="252" w:lineRule="auto"/>
            </w:pPr>
            <w:r>
              <w:rPr>
                <w:sz w:val="19"/>
              </w:rPr>
              <w:t>Whether the procedure executed</w:t>
            </w:r>
          </w:p>
        </w:tc>
      </w:tr>
      <w:tr>
        <w:trPr>
          <w:cantSplit/>
        </w:trPr>
        <w:tc>
          <w:tcPr>
            <w:tcW w:type="dxa" w:w="1656"/>
            <w:vAlign w:val="center"/>
            <w:tcMar>
              <w:top w:w="55" w:type="dxa"/>
              <w:bottom w:w="55" w:type="dxa"/>
              <w:left w:w="95" w:type="dxa"/>
              <w:right w:w="95" w:type="dxa"/>
            </w:tcMar>
          </w:tcPr>
          <w:p>
            <w:pPr>
              <w:spacing w:after="0" w:line="252" w:lineRule="auto"/>
            </w:pPr>
            <w:r>
              <w:rPr>
                <w:sz w:val="19"/>
              </w:rPr>
              <w:t>Research outcome</w:t>
            </w:r>
          </w:p>
        </w:tc>
        <w:tc>
          <w:tcPr>
            <w:tcW w:type="dxa" w:w="3960"/>
            <w:vAlign w:val="center"/>
            <w:tcMar>
              <w:top w:w="55" w:type="dxa"/>
              <w:bottom w:w="55" w:type="dxa"/>
              <w:left w:w="95" w:type="dxa"/>
              <w:right w:w="95" w:type="dxa"/>
            </w:tcMar>
          </w:tcPr>
          <w:p>
            <w:pPr>
              <w:spacing w:after="0" w:line="252" w:lineRule="auto"/>
            </w:pPr>
            <w:r>
              <w:rPr>
                <w:sz w:val="19"/>
              </w:rPr>
              <w:t>unknown, supported, refuted, inconclusive</w:t>
            </w:r>
          </w:p>
        </w:tc>
        <w:tc>
          <w:tcPr>
            <w:tcW w:type="dxa" w:w="4032"/>
            <w:vAlign w:val="center"/>
            <w:tcMar>
              <w:top w:w="55" w:type="dxa"/>
              <w:bottom w:w="55" w:type="dxa"/>
              <w:left w:w="95" w:type="dxa"/>
              <w:right w:w="95" w:type="dxa"/>
            </w:tcMar>
          </w:tcPr>
          <w:p>
            <w:pPr>
              <w:spacing w:after="0" w:line="252" w:lineRule="auto"/>
            </w:pPr>
            <w:r>
              <w:rPr>
                <w:sz w:val="19"/>
              </w:rPr>
              <w:t>What the evidence indicates</w:t>
            </w:r>
          </w:p>
        </w:tc>
      </w:tr>
      <w:tr>
        <w:trPr>
          <w:cantSplit/>
        </w:trPr>
        <w:tc>
          <w:tcPr>
            <w:tcW w:type="dxa" w:w="1656"/>
            <w:vAlign w:val="center"/>
            <w:tcMar>
              <w:top w:w="55" w:type="dxa"/>
              <w:bottom w:w="55" w:type="dxa"/>
              <w:left w:w="95" w:type="dxa"/>
              <w:right w:w="95" w:type="dxa"/>
            </w:tcMar>
            <w:shd w:fill="F2F5F7"/>
          </w:tcPr>
          <w:p>
            <w:pPr>
              <w:spacing w:after="0" w:line="252" w:lineRule="auto"/>
            </w:pPr>
            <w:r>
              <w:rPr>
                <w:sz w:val="19"/>
              </w:rPr>
              <w:t>Review</w:t>
            </w:r>
          </w:p>
        </w:tc>
        <w:tc>
          <w:tcPr>
            <w:tcW w:type="dxa" w:w="3960"/>
            <w:vAlign w:val="center"/>
            <w:tcMar>
              <w:top w:w="55" w:type="dxa"/>
              <w:bottom w:w="55" w:type="dxa"/>
              <w:left w:w="95" w:type="dxa"/>
              <w:right w:w="95" w:type="dxa"/>
            </w:tcMar>
            <w:shd w:fill="F2F5F7"/>
          </w:tcPr>
          <w:p>
            <w:pPr>
              <w:spacing w:after="0" w:line="252" w:lineRule="auto"/>
            </w:pPr>
            <w:r>
              <w:rPr>
                <w:sz w:val="19"/>
              </w:rPr>
              <w:t>pending, revisions required, ready, rejected</w:t>
            </w:r>
          </w:p>
        </w:tc>
        <w:tc>
          <w:tcPr>
            <w:tcW w:type="dxa" w:w="4032"/>
            <w:vAlign w:val="center"/>
            <w:tcMar>
              <w:top w:w="55" w:type="dxa"/>
              <w:bottom w:w="55" w:type="dxa"/>
              <w:left w:w="95" w:type="dxa"/>
              <w:right w:w="95" w:type="dxa"/>
            </w:tcMar>
            <w:shd w:fill="F2F5F7"/>
          </w:tcPr>
          <w:p>
            <w:pPr>
              <w:spacing w:after="0" w:line="252" w:lineRule="auto"/>
            </w:pPr>
            <w:r>
              <w:rPr>
                <w:sz w:val="19"/>
              </w:rPr>
              <w:t>Whether review requirements are met</w:t>
            </w:r>
          </w:p>
        </w:tc>
      </w:tr>
      <w:tr>
        <w:trPr>
          <w:cantSplit/>
        </w:trPr>
        <w:tc>
          <w:tcPr>
            <w:tcW w:type="dxa" w:w="1656"/>
            <w:vAlign w:val="center"/>
            <w:tcMar>
              <w:top w:w="55" w:type="dxa"/>
              <w:bottom w:w="55" w:type="dxa"/>
              <w:left w:w="95" w:type="dxa"/>
              <w:right w:w="95" w:type="dxa"/>
            </w:tcMar>
          </w:tcPr>
          <w:p>
            <w:pPr>
              <w:spacing w:after="0" w:line="252" w:lineRule="auto"/>
            </w:pPr>
            <w:r>
              <w:rPr>
                <w:sz w:val="19"/>
              </w:rPr>
              <w:t>Verification</w:t>
            </w:r>
          </w:p>
        </w:tc>
        <w:tc>
          <w:tcPr>
            <w:tcW w:type="dxa" w:w="3960"/>
            <w:vAlign w:val="center"/>
            <w:tcMar>
              <w:top w:w="55" w:type="dxa"/>
              <w:bottom w:w="55" w:type="dxa"/>
              <w:left w:w="95" w:type="dxa"/>
              <w:right w:w="95" w:type="dxa"/>
            </w:tcMar>
          </w:tcPr>
          <w:p>
            <w:pPr>
              <w:spacing w:after="0" w:line="252" w:lineRule="auto"/>
            </w:pPr>
            <w:r>
              <w:rPr>
                <w:sz w:val="19"/>
              </w:rPr>
              <w:t>unchecked, passed, failed, inconclusive</w:t>
            </w:r>
          </w:p>
        </w:tc>
        <w:tc>
          <w:tcPr>
            <w:tcW w:type="dxa" w:w="4032"/>
            <w:vAlign w:val="center"/>
            <w:tcMar>
              <w:top w:w="55" w:type="dxa"/>
              <w:bottom w:w="55" w:type="dxa"/>
              <w:left w:w="95" w:type="dxa"/>
              <w:right w:w="95" w:type="dxa"/>
            </w:tcMar>
          </w:tcPr>
          <w:p>
            <w:pPr>
              <w:spacing w:after="0" w:line="252" w:lineRule="auto"/>
            </w:pPr>
            <w:r>
              <w:rPr>
                <w:sz w:val="19"/>
              </w:rPr>
              <w:t>Result of a particular check</w:t>
            </w:r>
          </w:p>
        </w:tc>
      </w:tr>
      <w:tr>
        <w:trPr>
          <w:cantSplit/>
        </w:trPr>
        <w:tc>
          <w:tcPr>
            <w:tcW w:type="dxa" w:w="1656"/>
            <w:vAlign w:val="center"/>
            <w:tcMar>
              <w:top w:w="55" w:type="dxa"/>
              <w:bottom w:w="55" w:type="dxa"/>
              <w:left w:w="95" w:type="dxa"/>
              <w:right w:w="95" w:type="dxa"/>
            </w:tcMar>
            <w:shd w:fill="F2F5F7"/>
          </w:tcPr>
          <w:p>
            <w:pPr>
              <w:spacing w:after="0" w:line="252" w:lineRule="auto"/>
            </w:pPr>
            <w:r>
              <w:rPr>
                <w:sz w:val="19"/>
              </w:rPr>
              <w:t>Acceptance</w:t>
            </w:r>
          </w:p>
        </w:tc>
        <w:tc>
          <w:tcPr>
            <w:tcW w:type="dxa" w:w="3960"/>
            <w:vAlign w:val="center"/>
            <w:tcMar>
              <w:top w:w="55" w:type="dxa"/>
              <w:bottom w:w="55" w:type="dxa"/>
              <w:left w:w="95" w:type="dxa"/>
              <w:right w:w="95" w:type="dxa"/>
            </w:tcMar>
            <w:shd w:fill="F2F5F7"/>
          </w:tcPr>
          <w:p>
            <w:pPr>
              <w:spacing w:after="0" w:line="252" w:lineRule="auto"/>
            </w:pPr>
            <w:r>
              <w:rPr>
                <w:sz w:val="19"/>
              </w:rPr>
              <w:t>pending, accepted, rejected, superseded</w:t>
            </w:r>
          </w:p>
        </w:tc>
        <w:tc>
          <w:tcPr>
            <w:tcW w:type="dxa" w:w="4032"/>
            <w:vAlign w:val="center"/>
            <w:tcMar>
              <w:top w:w="55" w:type="dxa"/>
              <w:bottom w:w="55" w:type="dxa"/>
              <w:left w:w="95" w:type="dxa"/>
              <w:right w:w="95" w:type="dxa"/>
            </w:tcMar>
            <w:shd w:fill="F2F5F7"/>
          </w:tcPr>
          <w:p>
            <w:pPr>
              <w:spacing w:after="0" w:line="252" w:lineRule="auto"/>
            </w:pPr>
            <w:r>
              <w:rPr>
                <w:sz w:val="19"/>
              </w:rPr>
              <w:t>Contract-scoped decision</w:t>
            </w:r>
          </w:p>
        </w:tc>
      </w:tr>
      <w:tr>
        <w:trPr>
          <w:cantSplit/>
        </w:trPr>
        <w:tc>
          <w:tcPr>
            <w:tcW w:type="dxa" w:w="1656"/>
            <w:vAlign w:val="center"/>
            <w:tcMar>
              <w:top w:w="55" w:type="dxa"/>
              <w:bottom w:w="55" w:type="dxa"/>
              <w:left w:w="95" w:type="dxa"/>
              <w:right w:w="95" w:type="dxa"/>
            </w:tcMar>
          </w:tcPr>
          <w:p>
            <w:pPr>
              <w:spacing w:after="0" w:line="252" w:lineRule="auto"/>
            </w:pPr>
            <w:r>
              <w:rPr>
                <w:sz w:val="19"/>
              </w:rPr>
              <w:t>Applicability</w:t>
            </w:r>
          </w:p>
        </w:tc>
        <w:tc>
          <w:tcPr>
            <w:tcW w:type="dxa" w:w="3960"/>
            <w:vAlign w:val="center"/>
            <w:tcMar>
              <w:top w:w="55" w:type="dxa"/>
              <w:bottom w:w="55" w:type="dxa"/>
              <w:left w:w="95" w:type="dxa"/>
              <w:right w:w="95" w:type="dxa"/>
            </w:tcMar>
          </w:tcPr>
          <w:p>
            <w:pPr>
              <w:spacing w:after="0" w:line="252" w:lineRule="auto"/>
            </w:pPr>
            <w:r>
              <w:rPr>
                <w:sz w:val="19"/>
              </w:rPr>
              <w:t>active, under review, quarantined, superseded</w:t>
            </w:r>
          </w:p>
        </w:tc>
        <w:tc>
          <w:tcPr>
            <w:tcW w:type="dxa" w:w="4032"/>
            <w:vAlign w:val="center"/>
            <w:tcMar>
              <w:top w:w="55" w:type="dxa"/>
              <w:bottom w:w="55" w:type="dxa"/>
              <w:left w:w="95" w:type="dxa"/>
              <w:right w:w="95" w:type="dxa"/>
            </w:tcMar>
          </w:tcPr>
          <w:p>
            <w:pPr>
              <w:spacing w:after="0" w:line="252" w:lineRule="auto"/>
            </w:pPr>
            <w:r>
              <w:rPr>
                <w:sz w:val="19"/>
              </w:rPr>
              <w:t>Whether a record may currently support new work</w:t>
            </w:r>
          </w:p>
        </w:tc>
      </w:tr>
    </w:tbl>
    <w:p>
      <w:pPr>
        <w:spacing w:after="40" w:before="0" w:line="240" w:lineRule="auto"/>
      </w:pPr>
      <w:r>
        <w:rPr>
          <w:sz w:val="4"/>
        </w:rPr>
      </w:r>
    </w:p>
    <w:p>
      <w:r>
        <w:t>A passed check does not automatically imply acceptance. For example, a numerical script can pass syntax and reproducibility checks while the hypothesis remains inconclusive. A failed claim may remain useful as a documented negative result.</w:t>
      </w:r>
    </w:p>
    <w:p>
      <w:r>
        <w:t>Preserve submitted versions. Corrections create new versions with lineage. An integrity dispute creates a durable triage event for the protected acceptance authority. That authority marks materially affected results and dependents under review or quarantined. Quarantined records cannot serve as accepted premises for new work. Resolve the dispute through a recorded revalidation decision while retaining the historical acceptance record. Ordinary disagreement calls for review; it does not automatically invalidate every finding.</w:t>
      </w:r>
    </w:p>
    <w:p>
      <w:pPr>
        <w:pStyle w:val="Heading1"/>
        <w:pageBreakBefore/>
      </w:pPr>
      <w:r>
        <w:rPr>
          <w:color w:val="000000"/>
        </w:rPr>
        <w:t>7 Memory and communication</w:t>
      </w:r>
    </w:p>
    <w:p>
      <w:pPr>
        <w:pStyle w:val="Heading2"/>
      </w:pPr>
      <w:r>
        <w:rPr>
          <w:color w:val="000000"/>
        </w:rPr>
        <w:t>Three memory scopes</w:t>
      </w:r>
    </w:p>
    <w:p>
      <w:r>
        <w:t>Working context contains the current task and the minimum material needed to perform it. Project evidence contains original sources, claims, runs, artifacts and decisions. Method memory contains reusable procedures and prior failure conditions. Substantive findings and procedural recipes are retrieved separately.</w:t>
      </w:r>
    </w:p>
    <w:p>
      <w:r>
        <w:t>Every memory entry needs its source or producer, scope, conditions of applicability, verification state, creation time and supersession links. A method that worked on one dataset remains a candidate recipe for another dataset until its assumptions are checked. An unsuccessful run should preserve the distinction between an infeasible implementation and a tested hypothesis that performed poorly.</w:t>
      </w:r>
    </w:p>
    <w:p>
      <w:r>
        <w:t>Compress completed phases into summaries with links to originals. Do not repeatedly summarize a summary when the original evidence is needed. Before a context reset, save the contract version, completed tasks, active dependencies, unresolved objections and next action. The replacement agent retrieves those records before resuming.</w:t>
      </w:r>
    </w:p>
    <w:p>
      <w:pPr>
        <w:pStyle w:val="Heading2"/>
      </w:pPr>
      <w:r>
        <w:rPr>
          <w:color w:val="000000"/>
        </w:rPr>
        <w:t>Task brief</w:t>
      </w:r>
    </w:p>
    <w:p>
      <w:r>
        <w:t>Supply each worker with its exact objective, boundaries, known facts, tentative claims, failed approaches, relevant artifact references, allowed tools, resource limit, output format, and completion condition. Give only necessary context. Explicitly label assumptions supplied for exploration.</w:t>
      </w:r>
    </w:p>
    <w:p>
      <w:pPr>
        <w:pStyle w:val="Heading2"/>
      </w:pPr>
      <w:r>
        <w:rPr>
          <w:color w:val="000000"/>
        </w:rPr>
        <w:t>Result packet</w:t>
      </w:r>
    </w:p>
    <w:p>
      <w:r>
        <w:t>A worker returns a concise finding, exact evidence locators, assumptions, objections, artifact IDs, checks actually run, remaining gaps, resource use, and one proposed next action. Preserve references to raw outputs rather than transferring full logs through every conversation.</w:t>
      </w:r>
    </w:p>
    <w:p>
      <w:pPr>
        <w:pStyle w:val="Heading2"/>
      </w:pPr>
      <w:r>
        <w:rPr>
          <w:color w:val="000000"/>
        </w:rPr>
        <w:t>Selective exchange</w:t>
      </w:r>
    </w:p>
    <w:p>
      <w:r>
        <w:t>After an independent first pass, distribute a consolidation packet containing findings with their status, useful failures, contradictions, reusable checked subresults and open tasks. Include provenance and explain why a finding matters to the receiving branch. Avoid broadcasting routine progress or forcing every agent to consume the entire shared history.</w:t>
      </w:r>
    </w:p>
    <w:p>
      <w:r>
        <w:t>Allow focused requests such as asking a lemma owner to clarify one assumption. Record consequential requests and responses. Independent replication should remain isolated until results are submitted. Shared facts may be common inputs; this should be recorded when interpreting agreement.</w:t>
      </w:r>
    </w:p>
    <w:p>
      <w:r>
        <w:t>Treat retrieved documents and worker artifacts as evidence, not as instructions that can change tool permissions or the contract. A proposal to modify the verifier goes through the separate maintenance procedure described in section 10.</w:t>
      </w:r>
    </w:p>
    <w:p>
      <w:pPr>
        <w:pStyle w:val="Heading1"/>
        <w:pageBreakBefore/>
      </w:pPr>
      <w:r>
        <w:rPr>
          <w:color w:val="000000"/>
        </w:rPr>
        <w:t>8 Scheduling and resource control</w:t>
      </w:r>
    </w:p>
    <w:p>
      <w:pPr>
        <w:pStyle w:val="Heading2"/>
      </w:pPr>
      <w:r>
        <w:rPr>
          <w:color w:val="000000"/>
        </w:rPr>
        <w:t>Enforce execution rules outside the model</w:t>
      </w:r>
    </w:p>
    <w:p>
      <w:r>
        <w:t>The runtime validates task requests, claims tasks atomically, applies tool permissions, reserves budget, launches work and records results. Give each task a lease with an expiry time and owner token. Each execution attempt has an attempt ID and fencing token. Retransmissions reuse that attempt's result ID; a rerun receives a new attempt ID. Validate the active token and artifact hashes atomically when promoting a submission. Stale outputs remain auditable and their usage remains charged, even when they are ineligible as current submissions.</w:t>
      </w:r>
    </w:p>
    <w:p>
      <w:r>
        <w:t>Completion requires a durable result record and acknowledged artifact references. The absence of an error message is insufficient. Reconcile recorded state with actual processes and files after interruption. Retry transient tool failures with bounded backoff; return semantic failures to planning rather than repeating an unchanged action indefinitely.</w:t>
      </w:r>
    </w:p>
    <w:p>
      <w:r>
        <w:t>Use separate workspaces for concurrent mutations. Protect original datasets and trusted acceptance fixtures. Integration creates a new artifact version and triggers affected checks. For external actions with effects beyond the research environment, use the authorization policy established for that project.</w:t>
      </w:r>
    </w:p>
    <w:p>
      <w:pPr>
        <w:pStyle w:val="Heading2"/>
      </w:pPr>
      <w:r>
        <w:rPr>
          <w:color w:val="000000"/>
        </w:rPr>
        <w:t>Starting resource settings</w:t>
      </w:r>
    </w:p>
    <w:p>
      <w:r>
        <w:t>The following values are proposed pilot settings. They are not settings reported by OpenAI or universal recommendations from the papers.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232"/>
        <w:gridCol w:w="4824"/>
      </w:tblGrid>
      <w:tr>
        <w:trPr>
          <w:cantSplit/>
          <w:tblHeader w:val="true"/>
        </w:trPr>
        <w:tc>
          <w:tcPr>
            <w:tcW w:type="dxa" w:w="2592"/>
            <w:vAlign w:val="center"/>
            <w:tcMar>
              <w:top w:w="55" w:type="dxa"/>
              <w:bottom w:w="55" w:type="dxa"/>
              <w:left w:w="95" w:type="dxa"/>
              <w:right w:w="95" w:type="dxa"/>
            </w:tcMar>
            <w:shd w:fill="36454F"/>
          </w:tcPr>
          <w:p>
            <w:pPr>
              <w:spacing w:after="0" w:line="252" w:lineRule="auto"/>
            </w:pPr>
            <w:r>
              <w:rPr>
                <w:b/>
                <w:color w:val="FFFFFF"/>
                <w:sz w:val="19"/>
              </w:rPr>
              <w:t>Setting</w:t>
            </w:r>
          </w:p>
        </w:tc>
        <w:tc>
          <w:tcPr>
            <w:tcW w:type="dxa" w:w="2232"/>
            <w:vAlign w:val="center"/>
            <w:tcMar>
              <w:top w:w="55" w:type="dxa"/>
              <w:bottom w:w="55" w:type="dxa"/>
              <w:left w:w="95" w:type="dxa"/>
              <w:right w:w="95" w:type="dxa"/>
            </w:tcMar>
            <w:shd w:fill="36454F"/>
          </w:tcPr>
          <w:p>
            <w:pPr>
              <w:spacing w:after="0" w:line="252" w:lineRule="auto"/>
            </w:pPr>
            <w:r>
              <w:rPr>
                <w:b/>
                <w:color w:val="FFFFFF"/>
                <w:sz w:val="19"/>
              </w:rPr>
              <w:t>Pilot value</w:t>
            </w:r>
          </w:p>
        </w:tc>
        <w:tc>
          <w:tcPr>
            <w:tcW w:type="dxa" w:w="4824"/>
            <w:vAlign w:val="center"/>
            <w:tcMar>
              <w:top w:w="55" w:type="dxa"/>
              <w:bottom w:w="55" w:type="dxa"/>
              <w:left w:w="95" w:type="dxa"/>
              <w:right w:w="95" w:type="dxa"/>
            </w:tcMar>
            <w:shd w:fill="36454F"/>
          </w:tcPr>
          <w:p>
            <w:pPr>
              <w:spacing w:after="0" w:line="252" w:lineRule="auto"/>
            </w:pPr>
            <w:r>
              <w:rPr>
                <w:b/>
                <w:color w:val="FFFFFF"/>
                <w:sz w:val="19"/>
              </w:rPr>
              <w:t>Adjustment rule</w:t>
            </w:r>
          </w:p>
        </w:tc>
      </w:tr>
      <w:tr>
        <w:trPr>
          <w:cantSplit/>
        </w:trPr>
        <w:tc>
          <w:tcPr>
            <w:tcW w:type="dxa" w:w="2592"/>
            <w:vAlign w:val="center"/>
            <w:tcMar>
              <w:top w:w="55" w:type="dxa"/>
              <w:bottom w:w="55" w:type="dxa"/>
              <w:left w:w="95" w:type="dxa"/>
              <w:right w:w="95" w:type="dxa"/>
            </w:tcMar>
          </w:tcPr>
          <w:p>
            <w:pPr>
              <w:spacing w:after="0" w:line="252" w:lineRule="auto"/>
            </w:pPr>
            <w:r>
              <w:rPr>
                <w:sz w:val="19"/>
              </w:rPr>
              <w:t>Concurrent exploration branches</w:t>
            </w:r>
          </w:p>
        </w:tc>
        <w:tc>
          <w:tcPr>
            <w:tcW w:type="dxa" w:w="2232"/>
            <w:vAlign w:val="center"/>
            <w:tcMar>
              <w:top w:w="55" w:type="dxa"/>
              <w:bottom w:w="55" w:type="dxa"/>
              <w:left w:w="95" w:type="dxa"/>
              <w:right w:w="95" w:type="dxa"/>
            </w:tcMar>
          </w:tcPr>
          <w:p>
            <w:pPr>
              <w:spacing w:after="0" w:line="252" w:lineRule="auto"/>
            </w:pPr>
            <w:r>
              <w:rPr>
                <w:sz w:val="19"/>
              </w:rPr>
              <w:t>Up to 3</w:t>
            </w:r>
          </w:p>
        </w:tc>
        <w:tc>
          <w:tcPr>
            <w:tcW w:type="dxa" w:w="4824"/>
            <w:vAlign w:val="center"/>
            <w:tcMar>
              <w:top w:w="55" w:type="dxa"/>
              <w:bottom w:w="55" w:type="dxa"/>
              <w:left w:w="95" w:type="dxa"/>
              <w:right w:w="95" w:type="dxa"/>
            </w:tcMar>
          </w:tcPr>
          <w:p>
            <w:pPr>
              <w:spacing w:after="0" w:line="252" w:lineRule="auto"/>
            </w:pPr>
            <w:r>
              <w:rPr>
                <w:sz w:val="19"/>
              </w:rPr>
              <w:t>Use fewer when work is dependent or budget is small</w:t>
            </w:r>
          </w:p>
        </w:tc>
      </w:tr>
      <w:tr>
        <w:trPr>
          <w:cantSplit/>
        </w:trPr>
        <w:tc>
          <w:tcPr>
            <w:tcW w:type="dxa" w:w="2592"/>
            <w:vAlign w:val="center"/>
            <w:tcMar>
              <w:top w:w="55" w:type="dxa"/>
              <w:bottom w:w="55" w:type="dxa"/>
              <w:left w:w="95" w:type="dxa"/>
              <w:right w:w="95" w:type="dxa"/>
            </w:tcMar>
            <w:shd w:fill="F2F5F7"/>
          </w:tcPr>
          <w:p>
            <w:pPr>
              <w:spacing w:after="0" w:line="252" w:lineRule="auto"/>
            </w:pPr>
            <w:r>
              <w:rPr>
                <w:sz w:val="19"/>
              </w:rPr>
              <w:t>Delegation depth</w:t>
            </w:r>
          </w:p>
        </w:tc>
        <w:tc>
          <w:tcPr>
            <w:tcW w:type="dxa" w:w="2232"/>
            <w:vAlign w:val="center"/>
            <w:tcMar>
              <w:top w:w="55" w:type="dxa"/>
              <w:bottom w:w="55" w:type="dxa"/>
              <w:left w:w="95" w:type="dxa"/>
              <w:right w:w="95" w:type="dxa"/>
            </w:tcMar>
            <w:shd w:fill="F2F5F7"/>
          </w:tcPr>
          <w:p>
            <w:pPr>
              <w:spacing w:after="0" w:line="252" w:lineRule="auto"/>
            </w:pPr>
            <w:r>
              <w:rPr>
                <w:sz w:val="19"/>
              </w:rPr>
              <w:t>1</w:t>
            </w:r>
          </w:p>
        </w:tc>
        <w:tc>
          <w:tcPr>
            <w:tcW w:type="dxa" w:w="4824"/>
            <w:vAlign w:val="center"/>
            <w:tcMar>
              <w:top w:w="55" w:type="dxa"/>
              <w:bottom w:w="55" w:type="dxa"/>
              <w:left w:w="95" w:type="dxa"/>
              <w:right w:w="95" w:type="dxa"/>
            </w:tcMar>
            <w:shd w:fill="F2F5F7"/>
          </w:tcPr>
          <w:p>
            <w:pPr>
              <w:spacing w:after="0" w:line="252" w:lineRule="auto"/>
            </w:pPr>
            <w:r>
              <w:rPr>
                <w:sz w:val="19"/>
              </w:rPr>
              <w:t>Increase only after measuring coordination benefits</w:t>
            </w:r>
          </w:p>
        </w:tc>
      </w:tr>
      <w:tr>
        <w:trPr>
          <w:cantSplit/>
        </w:trPr>
        <w:tc>
          <w:tcPr>
            <w:tcW w:type="dxa" w:w="2592"/>
            <w:vAlign w:val="center"/>
            <w:tcMar>
              <w:top w:w="55" w:type="dxa"/>
              <w:bottom w:w="55" w:type="dxa"/>
              <w:left w:w="95" w:type="dxa"/>
              <w:right w:w="95" w:type="dxa"/>
            </w:tcMar>
          </w:tcPr>
          <w:p>
            <w:pPr>
              <w:spacing w:after="0" w:line="252" w:lineRule="auto"/>
            </w:pPr>
            <w:r>
              <w:rPr>
                <w:sz w:val="19"/>
              </w:rPr>
              <w:t>Reviewer allocation</w:t>
            </w:r>
          </w:p>
        </w:tc>
        <w:tc>
          <w:tcPr>
            <w:tcW w:type="dxa" w:w="2232"/>
            <w:vAlign w:val="center"/>
            <w:tcMar>
              <w:top w:w="55" w:type="dxa"/>
              <w:bottom w:w="55" w:type="dxa"/>
              <w:left w:w="95" w:type="dxa"/>
              <w:right w:w="95" w:type="dxa"/>
            </w:tcMar>
          </w:tcPr>
          <w:p>
            <w:pPr>
              <w:spacing w:after="0" w:line="252" w:lineRule="auto"/>
            </w:pPr>
            <w:r>
              <w:rPr>
                <w:sz w:val="19"/>
              </w:rPr>
              <w:t>On meaningful candidate submissions</w:t>
            </w:r>
          </w:p>
        </w:tc>
        <w:tc>
          <w:tcPr>
            <w:tcW w:type="dxa" w:w="4824"/>
            <w:vAlign w:val="center"/>
            <w:tcMar>
              <w:top w:w="55" w:type="dxa"/>
              <w:bottom w:w="55" w:type="dxa"/>
              <w:left w:w="95" w:type="dxa"/>
              <w:right w:w="95" w:type="dxa"/>
            </w:tcMar>
          </w:tcPr>
          <w:p>
            <w:pPr>
              <w:spacing w:after="0" w:line="252" w:lineRule="auto"/>
            </w:pPr>
            <w:r>
              <w:rPr>
                <w:sz w:val="19"/>
              </w:rPr>
              <w:t>Increase when false acceptance or review backlog rises</w:t>
            </w:r>
          </w:p>
        </w:tc>
      </w:tr>
      <w:tr>
        <w:trPr>
          <w:cantSplit/>
        </w:trPr>
        <w:tc>
          <w:tcPr>
            <w:tcW w:type="dxa" w:w="2592"/>
            <w:vAlign w:val="center"/>
            <w:tcMar>
              <w:top w:w="55" w:type="dxa"/>
              <w:bottom w:w="55" w:type="dxa"/>
              <w:left w:w="95" w:type="dxa"/>
              <w:right w:w="95" w:type="dxa"/>
            </w:tcMar>
            <w:shd w:fill="F2F5F7"/>
          </w:tcPr>
          <w:p>
            <w:pPr>
              <w:spacing w:after="0" w:line="252" w:lineRule="auto"/>
            </w:pPr>
            <w:r>
              <w:rPr>
                <w:sz w:val="19"/>
              </w:rPr>
              <w:t>Verification reserve</w:t>
            </w:r>
          </w:p>
        </w:tc>
        <w:tc>
          <w:tcPr>
            <w:tcW w:type="dxa" w:w="2232"/>
            <w:vAlign w:val="center"/>
            <w:tcMar>
              <w:top w:w="55" w:type="dxa"/>
              <w:bottom w:w="55" w:type="dxa"/>
              <w:left w:w="95" w:type="dxa"/>
              <w:right w:w="95" w:type="dxa"/>
            </w:tcMar>
            <w:shd w:fill="F2F5F7"/>
          </w:tcPr>
          <w:p>
            <w:pPr>
              <w:spacing w:after="0" w:line="252" w:lineRule="auto"/>
            </w:pPr>
            <w:r>
              <w:rPr>
                <w:sz w:val="19"/>
              </w:rPr>
              <w:t>Example 25 percent of the run budget</w:t>
            </w:r>
          </w:p>
        </w:tc>
        <w:tc>
          <w:tcPr>
            <w:tcW w:type="dxa" w:w="4824"/>
            <w:vAlign w:val="center"/>
            <w:tcMar>
              <w:top w:w="55" w:type="dxa"/>
              <w:bottom w:w="55" w:type="dxa"/>
              <w:left w:w="95" w:type="dxa"/>
              <w:right w:w="95" w:type="dxa"/>
            </w:tcMar>
            <w:shd w:fill="F2F5F7"/>
          </w:tcPr>
          <w:p>
            <w:pPr>
              <w:spacing w:after="0" w:line="252" w:lineRule="auto"/>
            </w:pPr>
            <w:r>
              <w:rPr>
                <w:sz w:val="19"/>
              </w:rPr>
              <w:t>Calibrate to the cost of domain checks</w:t>
            </w:r>
          </w:p>
        </w:tc>
      </w:tr>
      <w:tr>
        <w:trPr>
          <w:cantSplit/>
        </w:trPr>
        <w:tc>
          <w:tcPr>
            <w:tcW w:type="dxa" w:w="2592"/>
            <w:vAlign w:val="center"/>
            <w:tcMar>
              <w:top w:w="55" w:type="dxa"/>
              <w:bottom w:w="55" w:type="dxa"/>
              <w:left w:w="95" w:type="dxa"/>
              <w:right w:w="95" w:type="dxa"/>
            </w:tcMar>
          </w:tcPr>
          <w:p>
            <w:pPr>
              <w:spacing w:after="0" w:line="252" w:lineRule="auto"/>
            </w:pPr>
            <w:r>
              <w:rPr>
                <w:sz w:val="19"/>
              </w:rPr>
              <w:t>Repeated unchanged attempts</w:t>
            </w:r>
          </w:p>
        </w:tc>
        <w:tc>
          <w:tcPr>
            <w:tcW w:type="dxa" w:w="2232"/>
            <w:vAlign w:val="center"/>
            <w:tcMar>
              <w:top w:w="55" w:type="dxa"/>
              <w:bottom w:w="55" w:type="dxa"/>
              <w:left w:w="95" w:type="dxa"/>
              <w:right w:w="95" w:type="dxa"/>
            </w:tcMar>
          </w:tcPr>
          <w:p>
            <w:pPr>
              <w:spacing w:after="0" w:line="252" w:lineRule="auto"/>
            </w:pPr>
            <w:r>
              <w:rPr>
                <w:sz w:val="19"/>
              </w:rPr>
              <w:t>At most 2 before replanning</w:t>
            </w:r>
          </w:p>
        </w:tc>
        <w:tc>
          <w:tcPr>
            <w:tcW w:type="dxa" w:w="4824"/>
            <w:vAlign w:val="center"/>
            <w:tcMar>
              <w:top w:w="55" w:type="dxa"/>
              <w:bottom w:w="55" w:type="dxa"/>
              <w:left w:w="95" w:type="dxa"/>
              <w:right w:w="95" w:type="dxa"/>
            </w:tcMar>
          </w:tcPr>
          <w:p>
            <w:pPr>
              <w:spacing w:after="0" w:line="252" w:lineRule="auto"/>
            </w:pPr>
            <w:r>
              <w:rPr>
                <w:sz w:val="19"/>
              </w:rPr>
              <w:t>Change method or explain why another attempt is justified</w:t>
            </w:r>
          </w:p>
        </w:tc>
      </w:tr>
      <w:tr>
        <w:trPr>
          <w:cantSplit/>
        </w:trPr>
        <w:tc>
          <w:tcPr>
            <w:tcW w:type="dxa" w:w="2592"/>
            <w:vAlign w:val="center"/>
            <w:tcMar>
              <w:top w:w="55" w:type="dxa"/>
              <w:bottom w:w="55" w:type="dxa"/>
              <w:left w:w="95" w:type="dxa"/>
              <w:right w:w="95" w:type="dxa"/>
            </w:tcMar>
            <w:shd w:fill="F2F5F7"/>
          </w:tcPr>
          <w:p>
            <w:pPr>
              <w:spacing w:after="0" w:line="252" w:lineRule="auto"/>
            </w:pPr>
            <w:r>
              <w:rPr>
                <w:sz w:val="19"/>
              </w:rPr>
              <w:t>Context resets</w:t>
            </w:r>
          </w:p>
        </w:tc>
        <w:tc>
          <w:tcPr>
            <w:tcW w:type="dxa" w:w="2232"/>
            <w:vAlign w:val="center"/>
            <w:tcMar>
              <w:top w:w="55" w:type="dxa"/>
              <w:bottom w:w="55" w:type="dxa"/>
              <w:left w:w="95" w:type="dxa"/>
              <w:right w:w="95" w:type="dxa"/>
            </w:tcMar>
            <w:shd w:fill="F2F5F7"/>
          </w:tcPr>
          <w:p>
            <w:pPr>
              <w:spacing w:after="0" w:line="252" w:lineRule="auto"/>
            </w:pPr>
            <w:r>
              <w:rPr>
                <w:sz w:val="19"/>
              </w:rPr>
              <w:t>At saved checkpoints</w:t>
            </w:r>
          </w:p>
        </w:tc>
        <w:tc>
          <w:tcPr>
            <w:tcW w:type="dxa" w:w="4824"/>
            <w:vAlign w:val="center"/>
            <w:tcMar>
              <w:top w:w="55" w:type="dxa"/>
              <w:bottom w:w="55" w:type="dxa"/>
              <w:left w:w="95" w:type="dxa"/>
              <w:right w:w="95" w:type="dxa"/>
            </w:tcMar>
            <w:shd w:fill="F2F5F7"/>
          </w:tcPr>
          <w:p>
            <w:pPr>
              <w:spacing w:after="0" w:line="252" w:lineRule="auto"/>
            </w:pPr>
            <w:r>
              <w:rPr>
                <w:sz w:val="19"/>
              </w:rPr>
              <w:t>Preserve original evidence and active task state</w:t>
            </w:r>
          </w:p>
        </w:tc>
      </w:tr>
    </w:tbl>
    <w:p>
      <w:pPr>
        <w:spacing w:after="40" w:before="0" w:line="240" w:lineRule="auto"/>
      </w:pPr>
      <w:r>
        <w:rPr>
          <w:sz w:val="4"/>
        </w:rPr>
      </w:r>
    </w:p>
    <w:p>
      <w:r>
        <w:t>Maintain separate research, verification and reporting allocations. Admit research work only when its atomic cost reservation leaves the protected verification and reporting allocations intact. Each later stage spends its own allocation. Record transfers within the global cap. Reconcile actual usage afterward, including in-flight calls, tools and execution. Retain reservations for late or unknown usage until reconciled or conservatively charged. Cancellation does not erase incurred charges.</w:t>
      </w:r>
    </w:p>
    <w:p>
      <w:r>
        <w:t>Call a spending cap hard only when every billable invocation and in-flight reservation has an enforceable upper bound. Otherwise label the cap best effort, define overshoot tolerance and an early stop threshold, and use conservative reservations. Reserve shutdown and reporting time before the overall deadline. The controller counts all active calls according to a declared policy, including reviewer and descendant calls.</w:t>
      </w:r>
    </w:p>
    <w:p>
      <w:r>
        <w:t>Prioritize by relevance, expected information gained, feasibility, unresolved risk and next-check cost. Keep those dimensions separate. An optional comparative tournament can help choose a task; it cannot grant acceptance. Maintain some capacity for objections and alternative explanations. Log why a branch gains or loses resources.</w:t>
      </w:r>
    </w:p>
    <w:p>
      <w:pPr>
        <w:pStyle w:val="Heading1"/>
        <w:pageBreakBefore/>
      </w:pPr>
      <w:r>
        <w:rPr>
          <w:color w:val="000000"/>
        </w:rPr>
        <w:t>9 Domain verification</w:t>
      </w:r>
    </w:p>
    <w:p>
      <w:pPr>
        <w:pStyle w:val="Heading2"/>
      </w:pPr>
      <w:r>
        <w:rPr>
          <w:color w:val="000000"/>
        </w:rPr>
        <w:t>Match the check to the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3600"/>
      </w:tblGrid>
      <w:tr>
        <w:trPr>
          <w:cantSplit/>
          <w:tblHeader w:val="true"/>
        </w:trPr>
        <w:tc>
          <w:tcPr>
            <w:tcW w:type="dxa" w:w="1728"/>
            <w:vAlign w:val="center"/>
            <w:tcMar>
              <w:top w:w="55" w:type="dxa"/>
              <w:bottom w:w="55" w:type="dxa"/>
              <w:left w:w="95" w:type="dxa"/>
              <w:right w:w="95" w:type="dxa"/>
            </w:tcMar>
            <w:shd w:fill="36454F"/>
          </w:tcPr>
          <w:p>
            <w:pPr>
              <w:spacing w:after="0" w:line="252" w:lineRule="auto"/>
            </w:pPr>
            <w:r>
              <w:rPr>
                <w:b/>
                <w:color w:val="FFFFFF"/>
                <w:sz w:val="19"/>
              </w:rPr>
              <w:t>Domain</w:t>
            </w:r>
          </w:p>
        </w:tc>
        <w:tc>
          <w:tcPr>
            <w:tcW w:type="dxa" w:w="4320"/>
            <w:vAlign w:val="center"/>
            <w:tcMar>
              <w:top w:w="55" w:type="dxa"/>
              <w:bottom w:w="55" w:type="dxa"/>
              <w:left w:w="95" w:type="dxa"/>
              <w:right w:w="95" w:type="dxa"/>
            </w:tcMar>
            <w:shd w:fill="36454F"/>
          </w:tcPr>
          <w:p>
            <w:pPr>
              <w:spacing w:after="0" w:line="252" w:lineRule="auto"/>
            </w:pPr>
            <w:r>
              <w:rPr>
                <w:b/>
                <w:color w:val="FFFFFF"/>
                <w:sz w:val="19"/>
              </w:rPr>
              <w:t>Required checks</w:t>
            </w:r>
          </w:p>
        </w:tc>
        <w:tc>
          <w:tcPr>
            <w:tcW w:type="dxa" w:w="3600"/>
            <w:vAlign w:val="center"/>
            <w:tcMar>
              <w:top w:w="55" w:type="dxa"/>
              <w:bottom w:w="55" w:type="dxa"/>
              <w:left w:w="95" w:type="dxa"/>
              <w:right w:w="95" w:type="dxa"/>
            </w:tcMar>
            <w:shd w:fill="36454F"/>
          </w:tcPr>
          <w:p>
            <w:pPr>
              <w:spacing w:after="0" w:line="252" w:lineRule="auto"/>
            </w:pPr>
            <w:r>
              <w:rPr>
                <w:b/>
                <w:color w:val="FFFFFF"/>
                <w:sz w:val="19"/>
              </w:rPr>
              <w:t>What remains outside the check</w:t>
            </w:r>
          </w:p>
        </w:tc>
      </w:tr>
      <w:tr>
        <w:trPr>
          <w:cantSplit/>
        </w:trPr>
        <w:tc>
          <w:tcPr>
            <w:tcW w:type="dxa" w:w="1728"/>
            <w:vAlign w:val="center"/>
            <w:tcMar>
              <w:top w:w="55" w:type="dxa"/>
              <w:bottom w:w="55" w:type="dxa"/>
              <w:left w:w="95" w:type="dxa"/>
              <w:right w:w="95" w:type="dxa"/>
            </w:tcMar>
          </w:tcPr>
          <w:p>
            <w:pPr>
              <w:spacing w:after="0" w:line="252" w:lineRule="auto"/>
            </w:pPr>
            <w:r>
              <w:rPr>
                <w:sz w:val="19"/>
              </w:rPr>
              <w:t>Mathematics</w:t>
            </w:r>
          </w:p>
        </w:tc>
        <w:tc>
          <w:tcPr>
            <w:tcW w:type="dxa" w:w="4320"/>
            <w:vAlign w:val="center"/>
            <w:tcMar>
              <w:top w:w="55" w:type="dxa"/>
              <w:bottom w:w="55" w:type="dxa"/>
              <w:left w:w="95" w:type="dxa"/>
              <w:right w:w="95" w:type="dxa"/>
            </w:tcMar>
          </w:tcPr>
          <w:p>
            <w:pPr>
              <w:spacing w:after="0" w:line="252" w:lineRule="auto"/>
            </w:pPr>
            <w:r>
              <w:rPr>
                <w:sz w:val="19"/>
              </w:rPr>
              <w:t>Exact statement, quantifiers and assumptions; dependency and axiom policy; kernel checks where available; statement equivalence</w:t>
            </w:r>
          </w:p>
        </w:tc>
        <w:tc>
          <w:tcPr>
            <w:tcW w:type="dxa" w:w="3600"/>
            <w:vAlign w:val="center"/>
            <w:tcMar>
              <w:top w:w="55" w:type="dxa"/>
              <w:bottom w:w="55" w:type="dxa"/>
              <w:left w:w="95" w:type="dxa"/>
              <w:right w:w="95" w:type="dxa"/>
            </w:tcMar>
          </w:tcPr>
          <w:p>
            <w:pPr>
              <w:spacing w:after="0" w:line="252" w:lineRule="auto"/>
            </w:pPr>
            <w:r>
              <w:rPr>
                <w:sz w:val="19"/>
              </w:rPr>
              <w:t>Whether the formal statement captures the intended informal problem and all trust assumptions</w:t>
            </w:r>
          </w:p>
        </w:tc>
      </w:tr>
      <w:tr>
        <w:trPr>
          <w:cantSplit/>
        </w:trPr>
        <w:tc>
          <w:tcPr>
            <w:tcW w:type="dxa" w:w="1728"/>
            <w:vAlign w:val="center"/>
            <w:tcMar>
              <w:top w:w="55" w:type="dxa"/>
              <w:bottom w:w="55" w:type="dxa"/>
              <w:left w:w="95" w:type="dxa"/>
              <w:right w:w="95" w:type="dxa"/>
            </w:tcMar>
            <w:shd w:fill="F2F5F7"/>
          </w:tcPr>
          <w:p>
            <w:pPr>
              <w:spacing w:after="0" w:line="252" w:lineRule="auto"/>
            </w:pPr>
            <w:r>
              <w:rPr>
                <w:sz w:val="19"/>
              </w:rPr>
              <w:t>Computational research</w:t>
            </w:r>
          </w:p>
        </w:tc>
        <w:tc>
          <w:tcPr>
            <w:tcW w:type="dxa" w:w="4320"/>
            <w:vAlign w:val="center"/>
            <w:tcMar>
              <w:top w:w="55" w:type="dxa"/>
              <w:bottom w:w="55" w:type="dxa"/>
              <w:left w:w="95" w:type="dxa"/>
              <w:right w:w="95" w:type="dxa"/>
            </w:tcMar>
            <w:shd w:fill="F2F5F7"/>
          </w:tcPr>
          <w:p>
            <w:pPr>
              <w:spacing w:after="0" w:line="252" w:lineRule="auto"/>
            </w:pPr>
            <w:r>
              <w:rPr>
                <w:sz w:val="19"/>
              </w:rPr>
              <w:t>Actual code path, protected data, splits, baseline fairness, metric correctness, seeds and full run registry; reproducibility</w:t>
            </w:r>
          </w:p>
        </w:tc>
        <w:tc>
          <w:tcPr>
            <w:tcW w:type="dxa" w:w="3600"/>
            <w:vAlign w:val="center"/>
            <w:tcMar>
              <w:top w:w="55" w:type="dxa"/>
              <w:bottom w:w="55" w:type="dxa"/>
              <w:left w:w="95" w:type="dxa"/>
              <w:right w:w="95" w:type="dxa"/>
            </w:tcMar>
            <w:shd w:fill="F2F5F7"/>
          </w:tcPr>
          <w:p>
            <w:pPr>
              <w:spacing w:after="0" w:line="252" w:lineRule="auto"/>
            </w:pPr>
            <w:r>
              <w:rPr>
                <w:sz w:val="19"/>
              </w:rPr>
              <w:t>Generalization beyond the tested conditions</w:t>
            </w:r>
          </w:p>
        </w:tc>
      </w:tr>
      <w:tr>
        <w:trPr>
          <w:cantSplit/>
        </w:trPr>
        <w:tc>
          <w:tcPr>
            <w:tcW w:type="dxa" w:w="1728"/>
            <w:vAlign w:val="center"/>
            <w:tcMar>
              <w:top w:w="55" w:type="dxa"/>
              <w:bottom w:w="55" w:type="dxa"/>
              <w:left w:w="95" w:type="dxa"/>
              <w:right w:w="95" w:type="dxa"/>
            </w:tcMar>
          </w:tcPr>
          <w:p>
            <w:pPr>
              <w:spacing w:after="0" w:line="252" w:lineRule="auto"/>
            </w:pPr>
            <w:r>
              <w:rPr>
                <w:sz w:val="19"/>
              </w:rPr>
              <w:t>Literature synthesis</w:t>
            </w:r>
          </w:p>
        </w:tc>
        <w:tc>
          <w:tcPr>
            <w:tcW w:type="dxa" w:w="4320"/>
            <w:vAlign w:val="center"/>
            <w:tcMar>
              <w:top w:w="55" w:type="dxa"/>
              <w:bottom w:w="55" w:type="dxa"/>
              <w:left w:w="95" w:type="dxa"/>
              <w:right w:w="95" w:type="dxa"/>
            </w:tcMar>
          </w:tcPr>
          <w:p>
            <w:pPr>
              <w:spacing w:after="0" w:line="252" w:lineRule="auto"/>
            </w:pPr>
            <w:r>
              <w:rPr>
                <w:sz w:val="19"/>
              </w:rPr>
              <w:t>Retrieved original sources; precise claim locators; support and contradiction review; coverage and dates</w:t>
            </w:r>
          </w:p>
        </w:tc>
        <w:tc>
          <w:tcPr>
            <w:tcW w:type="dxa" w:w="3600"/>
            <w:vAlign w:val="center"/>
            <w:tcMar>
              <w:top w:w="55" w:type="dxa"/>
              <w:bottom w:w="55" w:type="dxa"/>
              <w:left w:w="95" w:type="dxa"/>
              <w:right w:w="95" w:type="dxa"/>
            </w:tcMar>
          </w:tcPr>
          <w:p>
            <w:pPr>
              <w:spacing w:after="0" w:line="252" w:lineRule="auto"/>
            </w:pPr>
            <w:r>
              <w:rPr>
                <w:sz w:val="19"/>
              </w:rPr>
              <w:t>Exhaustiveness when access or search coverage is limited</w:t>
            </w:r>
          </w:p>
        </w:tc>
      </w:tr>
      <w:tr>
        <w:trPr>
          <w:cantSplit/>
        </w:trPr>
        <w:tc>
          <w:tcPr>
            <w:tcW w:type="dxa" w:w="1728"/>
            <w:vAlign w:val="center"/>
            <w:tcMar>
              <w:top w:w="55" w:type="dxa"/>
              <w:bottom w:w="55" w:type="dxa"/>
              <w:left w:w="95" w:type="dxa"/>
              <w:right w:w="95" w:type="dxa"/>
            </w:tcMar>
            <w:shd w:fill="F2F5F7"/>
          </w:tcPr>
          <w:p>
            <w:pPr>
              <w:spacing w:after="0" w:line="252" w:lineRule="auto"/>
            </w:pPr>
            <w:r>
              <w:rPr>
                <w:sz w:val="19"/>
              </w:rPr>
              <w:t>Empirical science</w:t>
            </w:r>
          </w:p>
        </w:tc>
        <w:tc>
          <w:tcPr>
            <w:tcW w:type="dxa" w:w="4320"/>
            <w:vAlign w:val="center"/>
            <w:tcMar>
              <w:top w:w="55" w:type="dxa"/>
              <w:bottom w:w="55" w:type="dxa"/>
              <w:left w:w="95" w:type="dxa"/>
              <w:right w:w="95" w:type="dxa"/>
            </w:tcMar>
            <w:shd w:fill="F2F5F7"/>
          </w:tcPr>
          <w:p>
            <w:pPr>
              <w:spacing w:after="0" w:line="252" w:lineRule="auto"/>
            </w:pPr>
            <w:r>
              <w:rPr>
                <w:sz w:val="19"/>
              </w:rPr>
              <w:t>Valid measurement protocol, controls, calibration, uncertainty and domain expert review</w:t>
            </w:r>
          </w:p>
        </w:tc>
        <w:tc>
          <w:tcPr>
            <w:tcW w:type="dxa" w:w="3600"/>
            <w:vAlign w:val="center"/>
            <w:tcMar>
              <w:top w:w="55" w:type="dxa"/>
              <w:bottom w:w="55" w:type="dxa"/>
              <w:left w:w="95" w:type="dxa"/>
              <w:right w:w="95" w:type="dxa"/>
            </w:tcMar>
            <w:shd w:fill="F2F5F7"/>
          </w:tcPr>
          <w:p>
            <w:pPr>
              <w:spacing w:after="0" w:line="252" w:lineRule="auto"/>
            </w:pPr>
            <w:r>
              <w:rPr>
                <w:sz w:val="19"/>
              </w:rPr>
              <w:t>Untested mechanisms and broader causal claims</w:t>
            </w:r>
          </w:p>
        </w:tc>
      </w:tr>
    </w:tbl>
    <w:p>
      <w:pPr>
        <w:spacing w:after="40" w:before="0" w:line="240" w:lineRule="auto"/>
      </w:pPr>
      <w:r>
        <w:rPr>
          <w:sz w:val="4"/>
        </w:rPr>
      </w:r>
    </w:p>
    <w:p>
      <w:pPr>
        <w:pStyle w:val="Heading2"/>
      </w:pPr>
      <w:r>
        <w:rPr>
          <w:color w:val="000000"/>
        </w:rPr>
        <w:t>Mathematical claims</w:t>
      </w:r>
    </w:p>
    <w:p>
      <w:r>
        <w:t>Separate conjecture formation, informal argument review, formal statement review and proof checking. A numerical pattern is evidence for exploration, not a proof. If formal checking is unavailable, report the reviewed informal argument, its review method and any unresolved gaps. Do not label it formally verified or imply that a tool check occurred.</w:t>
      </w:r>
    </w:p>
    <w:p>
      <w:r>
        <w:t>For formal work, preserve a trusted target statement. Check the elaborated theorem's meaning, allowed axioms, imports, definition changes and proof dependencies. Reference files may contain intentional challenge placeholders; inspect the submitted proof and dependency structure before interpreting them. Where available, compare against an independently reviewed specification and use an independent checker. Record the actual versions and command outcomes.</w:t>
      </w:r>
    </w:p>
    <w:p>
      <w:pPr>
        <w:pStyle w:val="Heading2"/>
      </w:pPr>
      <w:r>
        <w:rPr>
          <w:color w:val="000000"/>
        </w:rPr>
        <w:t>Computational claims</w:t>
      </w:r>
    </w:p>
    <w:p>
      <w:r>
        <w:t>Distinguish scaffolding from final experiments. Before accepting a final result, check that mocks and diagnostic substitutions are absent, the intended method is active, the contract-specified final dataset and execution settings are applied, evaluation code is correct, and the baseline receives comparable treatment. A registered subset can be valid; unintended scaffold subsampling cannot silently replace the final workload. Use the actual executed code and data versions, not the planned description.</w:t>
      </w:r>
    </w:p>
    <w:p>
      <w:r>
        <w:t>Track planned, attempted, completed, excluded and reported runs. Explain exclusions. Report negative and null results that affect the conclusion. A narrative-to-log check catches fabricated numbers but cannot establish sound experimental design. Investigate leakage, selective reporting, inappropriate metrics and code/theory mismatch separately. Check plots, captions and numerical conclusions against stored measurements.</w:t>
      </w:r>
    </w:p>
    <w:p>
      <w:pPr>
        <w:pStyle w:val="Heading2"/>
      </w:pPr>
      <w:r>
        <w:rPr>
          <w:color w:val="000000"/>
        </w:rPr>
        <w:t>Evidence reports</w:t>
      </w:r>
    </w:p>
    <w:p>
      <w:r>
        <w:t>Trace each consequential claim to a primary source and exact section or page. Check that the source supports the claim's strength and conditions. Distinguish source disagreement from uncertainty created by missing access. Do not treat several articles repeating one origin as independent confirmations.</w:t>
      </w:r>
    </w:p>
    <w:p>
      <w:pPr>
        <w:pStyle w:val="Heading1"/>
        <w:pageBreakBefore/>
      </w:pPr>
      <w:r>
        <w:rPr>
          <w:color w:val="000000"/>
        </w:rPr>
        <w:t>10 Acceptance integrity and stopping</w:t>
      </w:r>
    </w:p>
    <w:p>
      <w:pPr>
        <w:pStyle w:val="Heading2"/>
      </w:pPr>
      <w:r>
        <w:rPr>
          <w:color w:val="000000"/>
        </w:rPr>
        <w:t>Protected acceptance</w:t>
      </w:r>
    </w:p>
    <w:p>
      <w:r>
        <w:t>Research workers can propose a check and submit a candidate. They cannot replace the trusted specification, alter the active verifier, overwrite original evaluation data, or write their own acceptance decision. Enforce these restrictions through tool and filesystem permissions.</w:t>
      </w:r>
    </w:p>
    <w:p>
      <w:r>
        <w:t>A verifier repair creates a separate maintenance proposal with a reason, tests, version and reviewer. Activate it only through the configured authority. Revalidate affected accepted results when a checker defect or compromised dependency is found. Keep pending artifacts separate from accepted knowledge so that a successful exploit does not become a reusable fact by default.</w:t>
      </w:r>
    </w:p>
    <w:p>
      <w:r>
        <w:t>The acceptance record states precisely what was established, under which conditions, by which evidence and checks. A verified lemma can be accepted while the target theorem remains open. A reproduced improvement can be accepted for one dataset without implying general superiority.</w:t>
      </w:r>
    </w:p>
    <w:p>
      <w:pPr>
        <w:pStyle w:val="Heading2"/>
      </w:pPr>
      <w:r>
        <w:rPr>
          <w:color w:val="000000"/>
        </w:rPr>
        <w:t>Stop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632"/>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Trigger</w:t>
            </w:r>
          </w:p>
        </w:tc>
        <w:tc>
          <w:tcPr>
            <w:tcW w:type="dxa" w:w="7632"/>
            <w:vAlign w:val="center"/>
            <w:tcMar>
              <w:top w:w="55" w:type="dxa"/>
              <w:bottom w:w="55" w:type="dxa"/>
              <w:left w:w="95" w:type="dxa"/>
              <w:right w:w="95" w:type="dxa"/>
            </w:tcMar>
            <w:shd w:fill="36454F"/>
          </w:tcPr>
          <w:p>
            <w:pPr>
              <w:spacing w:after="0" w:line="252" w:lineRule="auto"/>
            </w:pPr>
            <w:r>
              <w:rPr>
                <w:b/>
                <w:color w:val="FFFFFF"/>
                <w:sz w:val="19"/>
              </w:rPr>
              <w:t>Required response</w:t>
            </w:r>
          </w:p>
        </w:tc>
      </w:tr>
      <w:tr>
        <w:trPr>
          <w:cantSplit/>
        </w:trPr>
        <w:tc>
          <w:tcPr>
            <w:tcW w:type="dxa" w:w="2016"/>
            <w:vAlign w:val="center"/>
            <w:tcMar>
              <w:top w:w="55" w:type="dxa"/>
              <w:bottom w:w="55" w:type="dxa"/>
              <w:left w:w="95" w:type="dxa"/>
              <w:right w:w="95" w:type="dxa"/>
            </w:tcMar>
          </w:tcPr>
          <w:p>
            <w:pPr>
              <w:spacing w:after="0" w:line="252" w:lineRule="auto"/>
            </w:pPr>
            <w:r>
              <w:rPr>
                <w:sz w:val="19"/>
              </w:rPr>
              <w:t>Success criteria satisfied</w:t>
            </w:r>
          </w:p>
        </w:tc>
        <w:tc>
          <w:tcPr>
            <w:tcW w:type="dxa" w:w="7632"/>
            <w:vAlign w:val="center"/>
            <w:tcMar>
              <w:top w:w="55" w:type="dxa"/>
              <w:bottom w:w="55" w:type="dxa"/>
              <w:left w:w="95" w:type="dxa"/>
              <w:right w:w="95" w:type="dxa"/>
            </w:tcMar>
          </w:tcPr>
          <w:p>
            <w:pPr>
              <w:spacing w:after="0" w:line="252" w:lineRule="auto"/>
            </w:pPr>
            <w:r>
              <w:rPr>
                <w:sz w:val="19"/>
              </w:rPr>
              <w:t>Confirm outstanding objections are resolved and assemble the release package</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Global budget or time limit</w:t>
            </w:r>
          </w:p>
        </w:tc>
        <w:tc>
          <w:tcPr>
            <w:tcW w:type="dxa" w:w="7632"/>
            <w:vAlign w:val="center"/>
            <w:tcMar>
              <w:top w:w="55" w:type="dxa"/>
              <w:bottom w:w="55" w:type="dxa"/>
              <w:left w:w="95" w:type="dxa"/>
              <w:right w:w="95" w:type="dxa"/>
            </w:tcMar>
            <w:shd w:fill="F2F5F7"/>
          </w:tcPr>
          <w:p>
            <w:pPr>
              <w:spacing w:after="0" w:line="252" w:lineRule="auto"/>
            </w:pPr>
            <w:r>
              <w:rPr>
                <w:sz w:val="19"/>
              </w:rPr>
              <w:t>Stop admissions; cancel active research within the configured shutdown deadline; retain partial artifacts and unresolved reservations; report using reserved resources</w:t>
            </w:r>
          </w:p>
        </w:tc>
      </w:tr>
      <w:tr>
        <w:trPr>
          <w:cantSplit/>
        </w:trPr>
        <w:tc>
          <w:tcPr>
            <w:tcW w:type="dxa" w:w="2016"/>
            <w:vAlign w:val="center"/>
            <w:tcMar>
              <w:top w:w="55" w:type="dxa"/>
              <w:bottom w:w="55" w:type="dxa"/>
              <w:left w:w="95" w:type="dxa"/>
              <w:right w:w="95" w:type="dxa"/>
            </w:tcMar>
          </w:tcPr>
          <w:p>
            <w:pPr>
              <w:spacing w:after="0" w:line="252" w:lineRule="auto"/>
            </w:pPr>
            <w:r>
              <w:rPr>
                <w:sz w:val="19"/>
              </w:rPr>
              <w:t>No useful evidence across a configured checkpoint window</w:t>
            </w:r>
          </w:p>
        </w:tc>
        <w:tc>
          <w:tcPr>
            <w:tcW w:type="dxa" w:w="7632"/>
            <w:vAlign w:val="center"/>
            <w:tcMar>
              <w:top w:w="55" w:type="dxa"/>
              <w:bottom w:w="55" w:type="dxa"/>
              <w:left w:w="95" w:type="dxa"/>
              <w:right w:w="95" w:type="dxa"/>
            </w:tcMar>
          </w:tcPr>
          <w:p>
            <w:pPr>
              <w:spacing w:after="0" w:line="252" w:lineRule="auto"/>
            </w:pPr>
            <w:r>
              <w:rPr>
                <w:sz w:val="19"/>
              </w:rPr>
              <w:t>Replan once within budget or retire the branch with its failure conditions</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Required source, tool or measurement unavailable</w:t>
            </w:r>
          </w:p>
        </w:tc>
        <w:tc>
          <w:tcPr>
            <w:tcW w:type="dxa" w:w="7632"/>
            <w:vAlign w:val="center"/>
            <w:tcMar>
              <w:top w:w="55" w:type="dxa"/>
              <w:bottom w:w="55" w:type="dxa"/>
              <w:left w:w="95" w:type="dxa"/>
              <w:right w:w="95" w:type="dxa"/>
            </w:tcMar>
            <w:shd w:fill="F2F5F7"/>
          </w:tcPr>
          <w:p>
            <w:pPr>
              <w:spacing w:after="0" w:line="252" w:lineRule="auto"/>
            </w:pPr>
            <w:r>
              <w:rPr>
                <w:sz w:val="19"/>
              </w:rPr>
              <w:t>Continue independent tasks; mark affected claims unverified or inconclusive</w:t>
            </w:r>
          </w:p>
        </w:tc>
      </w:tr>
      <w:tr>
        <w:trPr>
          <w:cantSplit/>
        </w:trPr>
        <w:tc>
          <w:tcPr>
            <w:tcW w:type="dxa" w:w="2016"/>
            <w:vAlign w:val="center"/>
            <w:tcMar>
              <w:top w:w="55" w:type="dxa"/>
              <w:bottom w:w="55" w:type="dxa"/>
              <w:left w:w="95" w:type="dxa"/>
              <w:right w:w="95" w:type="dxa"/>
            </w:tcMar>
          </w:tcPr>
          <w:p>
            <w:pPr>
              <w:spacing w:after="0" w:line="252" w:lineRule="auto"/>
            </w:pPr>
            <w:r>
              <w:rPr>
                <w:sz w:val="19"/>
              </w:rPr>
              <w:t>Acceptance machinery compromised</w:t>
            </w:r>
          </w:p>
        </w:tc>
        <w:tc>
          <w:tcPr>
            <w:tcW w:type="dxa" w:w="7632"/>
            <w:vAlign w:val="center"/>
            <w:tcMar>
              <w:top w:w="55" w:type="dxa"/>
              <w:bottom w:w="55" w:type="dxa"/>
              <w:left w:w="95" w:type="dxa"/>
              <w:right w:w="95" w:type="dxa"/>
            </w:tcMar>
          </w:tcPr>
          <w:p>
            <w:pPr>
              <w:spacing w:after="0" w:line="252" w:lineRule="auto"/>
            </w:pPr>
            <w:r>
              <w:rPr>
                <w:sz w:val="19"/>
              </w:rPr>
              <w:t>Quarantine affected results and use protected recovery and revalidation</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Contract changes</w:t>
            </w:r>
          </w:p>
        </w:tc>
        <w:tc>
          <w:tcPr>
            <w:tcW w:type="dxa" w:w="7632"/>
            <w:vAlign w:val="center"/>
            <w:tcMar>
              <w:top w:w="55" w:type="dxa"/>
              <w:bottom w:w="55" w:type="dxa"/>
              <w:left w:w="95" w:type="dxa"/>
              <w:right w:w="95" w:type="dxa"/>
            </w:tcMar>
            <w:shd w:fill="F2F5F7"/>
          </w:tcPr>
          <w:p>
            <w:pPr>
              <w:spacing w:after="0" w:line="252" w:lineRule="auto"/>
            </w:pPr>
            <w:r>
              <w:rPr>
                <w:sz w:val="19"/>
              </w:rPr>
              <w:t>Version the target and reassess dependent tasks and results</w:t>
            </w:r>
          </w:p>
        </w:tc>
      </w:tr>
    </w:tbl>
    <w:p>
      <w:pPr>
        <w:spacing w:after="40" w:before="0" w:line="240" w:lineRule="auto"/>
      </w:pPr>
      <w:r>
        <w:rPr>
          <w:sz w:val="4"/>
        </w:rPr>
      </w:r>
    </w:p>
    <w:p>
      <w:r>
        <w:t>Define useful progress before the run: a checked subresult, a discriminating experiment, an eliminated hypothesis, a supported contradiction, or a reduced uncertainty relevant to the goal. Increased message volume or a more confident narrative does not meet that definition. If a service cannot guarantee immediate cancellation, disclose the limitation and keep outstanding work and charges recorded.</w:t>
      </w:r>
    </w:p>
    <w:p>
      <w:r>
        <w:t>Record investigation completion separately from claim outcomes. Completion is objective satisfied within scope, partial progress, inconclusive, or operationally blocked. Individual hypotheses or variants may be supported, refuted, or inconclusive. A valid negative conclusion can satisfy a question-oriented contract. Budget exhaustion is a stopping reason, never evidence of objective satisfaction.</w:t>
      </w:r>
    </w:p>
    <w:p>
      <w:r>
        <w:t>For unresolved work, report the strongest checked result, the exact gap, retired approaches, remaining assumptions and the next action most likely to discriminate between alternatives. Preserve enough state to resume without repeating the whole investigation.</w:t>
      </w:r>
    </w:p>
    <w:p>
      <w:pPr>
        <w:pStyle w:val="Heading1"/>
        <w:pageBreakBefore/>
      </w:pPr>
      <w:r>
        <w:rPr>
          <w:color w:val="000000"/>
        </w:rPr>
        <w:t>11 Implementation and evaluation</w:t>
      </w:r>
    </w:p>
    <w:p>
      <w:pPr>
        <w:pStyle w:val="Heading2"/>
      </w:pPr>
      <w:r>
        <w:rPr>
          <w:color w:val="000000"/>
        </w:rPr>
        <w:t>Runtime choices</w:t>
      </w:r>
    </w:p>
    <w:p>
      <w:r>
        <w:t>Keep the evidence model and acceptance procedure independent of a provider-specific runtime. A thin adapter should launch tasks, deliver results, report usage and expose cancellation. Product capabilities and beta schemas need rechecking when implementation begins.</w:t>
      </w:r>
    </w:p>
    <w:p>
      <w:r>
        <w:t xml:space="preserve">OpenAI distinguishes manager-style agents as tools from handoffs that transfer conversation ownership. Hosted Responses multi-agent orchestration supplies collaboration primitives, but workers share the request's model and tools. Role text therefore does not create isolated verification permissions or heterogeneous models. Use separate model requests or an application-owned runtime for different role models. Enforce verifier access through a separate process, restricted tool handler or equivalent runtime boundary. Agents SDK runs inside the application; Agents API hosts the harness and sessions. </w:t>
      </w:r>
      <w:hyperlink w:anchor="R17">
        <w:r>
          <w:rPr>
            <w:color w:val="244E68"/>
            <w:u w:val="single"/>
          </w:rPr>
          <w:t>[R17]</w:t>
        </w:r>
      </w:hyperlink>
      <w:r>
        <w:t xml:space="preserve"> </w:t>
      </w:r>
      <w:hyperlink w:anchor="R18">
        <w:r>
          <w:rPr>
            <w:color w:val="244E68"/>
            <w:u w:val="single"/>
          </w:rPr>
          <w:t>[R18]</w:t>
        </w:r>
      </w:hyperlink>
      <w:r>
        <w:t xml:space="preserve"> </w:t>
      </w:r>
      <w:hyperlink w:anchor="R19">
        <w:r>
          <w:rPr>
            <w:color w:val="244E68"/>
            <w:u w:val="single"/>
          </w:rPr>
          <w:t>[R19]</w:t>
        </w:r>
      </w:hyperlink>
      <w:r/>
    </w:p>
    <w:p>
      <w:r>
        <w:t>For a small local pilot, use one controller process, a durable database, an artifact directory, a worker pool and a separate checking process. Keep the active verifier configuration and original data read-only to workers. This is a proposed implementation, not a software package delivered by this handbook.</w:t>
      </w:r>
    </w:p>
    <w:p>
      <w:pPr>
        <w:pStyle w:val="Heading2"/>
      </w:pPr>
      <w:r>
        <w:rPr>
          <w:color w:val="000000"/>
        </w:rPr>
        <w:t>Evaluation procedure</w:t>
      </w:r>
    </w:p>
    <w:p>
      <w:r>
        <w:t>Choose representative tasks with independently checkable outcomes, including ambiguity, contradictions, negative results, tool failures and interruptions. Separate prompt-development tasks from held-out evaluation tasks. Repeated runs measure variance; a small pilot detects obvious defects but cannot establish broad reliability.</w:t>
      </w:r>
    </w:p>
    <w:p>
      <w:r>
        <w:t>Compare a strong single-agent baseline, an independent ensemble with checked aggregation, a coordinator with workers, and the full proposed design. Keep model family and versions fixed for the first topology comparison. Use the same total budget cap and report both actual spending and unused budget. At a second stage, compare quality at matched actual spending and under a matched wall-clock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632"/>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Measure</w:t>
            </w:r>
          </w:p>
        </w:tc>
        <w:tc>
          <w:tcPr>
            <w:tcW w:type="dxa" w:w="7632"/>
            <w:vAlign w:val="center"/>
            <w:tcMar>
              <w:top w:w="55" w:type="dxa"/>
              <w:bottom w:w="55" w:type="dxa"/>
              <w:left w:w="95" w:type="dxa"/>
              <w:right w:w="95" w:type="dxa"/>
            </w:tcMar>
            <w:shd w:fill="36454F"/>
          </w:tcPr>
          <w:p>
            <w:pPr>
              <w:spacing w:after="0" w:line="252" w:lineRule="auto"/>
            </w:pPr>
            <w:r>
              <w:rPr>
                <w:b/>
                <w:color w:val="FFFFFF"/>
                <w:sz w:val="19"/>
              </w:rPr>
              <w:t>Definition</w:t>
            </w:r>
          </w:p>
        </w:tc>
      </w:tr>
      <w:tr>
        <w:trPr>
          <w:cantSplit/>
        </w:trPr>
        <w:tc>
          <w:tcPr>
            <w:tcW w:type="dxa" w:w="2016"/>
            <w:vAlign w:val="center"/>
            <w:tcMar>
              <w:top w:w="55" w:type="dxa"/>
              <w:bottom w:w="55" w:type="dxa"/>
              <w:left w:w="95" w:type="dxa"/>
              <w:right w:w="95" w:type="dxa"/>
            </w:tcMar>
          </w:tcPr>
          <w:p>
            <w:pPr>
              <w:spacing w:after="0" w:line="252" w:lineRule="auto"/>
            </w:pPr>
            <w:r>
              <w:rPr>
                <w:sz w:val="19"/>
              </w:rPr>
              <w:t>Target success</w:t>
            </w:r>
          </w:p>
        </w:tc>
        <w:tc>
          <w:tcPr>
            <w:tcW w:type="dxa" w:w="7632"/>
            <w:vAlign w:val="center"/>
            <w:tcMar>
              <w:top w:w="55" w:type="dxa"/>
              <w:bottom w:w="55" w:type="dxa"/>
              <w:left w:w="95" w:type="dxa"/>
              <w:right w:w="95" w:type="dxa"/>
            </w:tcMar>
          </w:tcPr>
          <w:p>
            <w:pPr>
              <w:spacing w:after="0" w:line="252" w:lineRule="auto"/>
            </w:pPr>
            <w:r>
              <w:rPr>
                <w:sz w:val="19"/>
              </w:rPr>
              <w:t>Fraction of tasks satisfying the independently defined acceptance criteria</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False acceptance</w:t>
            </w:r>
          </w:p>
        </w:tc>
        <w:tc>
          <w:tcPr>
            <w:tcW w:type="dxa" w:w="7632"/>
            <w:vAlign w:val="center"/>
            <w:tcMar>
              <w:top w:w="55" w:type="dxa"/>
              <w:bottom w:w="55" w:type="dxa"/>
              <w:left w:w="95" w:type="dxa"/>
              <w:right w:w="95" w:type="dxa"/>
            </w:tcMar>
            <w:shd w:fill="F2F5F7"/>
          </w:tcPr>
          <w:p>
            <w:pPr>
              <w:spacing w:after="0" w:line="252" w:lineRule="auto"/>
            </w:pPr>
            <w:r>
              <w:rPr>
                <w:sz w:val="19"/>
              </w:rPr>
              <w:t>Accepted claims found invalid by the external evaluation</w:t>
            </w:r>
          </w:p>
        </w:tc>
      </w:tr>
      <w:tr>
        <w:trPr>
          <w:cantSplit/>
        </w:trPr>
        <w:tc>
          <w:tcPr>
            <w:tcW w:type="dxa" w:w="2016"/>
            <w:vAlign w:val="center"/>
            <w:tcMar>
              <w:top w:w="55" w:type="dxa"/>
              <w:bottom w:w="55" w:type="dxa"/>
              <w:left w:w="95" w:type="dxa"/>
              <w:right w:w="95" w:type="dxa"/>
            </w:tcMar>
          </w:tcPr>
          <w:p>
            <w:pPr>
              <w:spacing w:after="0" w:line="252" w:lineRule="auto"/>
            </w:pPr>
            <w:r>
              <w:rPr>
                <w:sz w:val="19"/>
              </w:rPr>
              <w:t>Evidence yield</w:t>
            </w:r>
          </w:p>
        </w:tc>
        <w:tc>
          <w:tcPr>
            <w:tcW w:type="dxa" w:w="7632"/>
            <w:vAlign w:val="center"/>
            <w:tcMar>
              <w:top w:w="55" w:type="dxa"/>
              <w:bottom w:w="55" w:type="dxa"/>
              <w:left w:w="95" w:type="dxa"/>
              <w:right w:w="95" w:type="dxa"/>
            </w:tcMar>
          </w:tcPr>
          <w:p>
            <w:pPr>
              <w:spacing w:after="0" w:line="252" w:lineRule="auto"/>
            </w:pPr>
            <w:r>
              <w:rPr>
                <w:sz w:val="19"/>
              </w:rPr>
              <w:t>Useful checked results relative to model, tool and execution cost</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Redundancy</w:t>
            </w:r>
          </w:p>
        </w:tc>
        <w:tc>
          <w:tcPr>
            <w:tcW w:type="dxa" w:w="7632"/>
            <w:vAlign w:val="center"/>
            <w:tcMar>
              <w:top w:w="55" w:type="dxa"/>
              <w:bottom w:w="55" w:type="dxa"/>
              <w:left w:w="95" w:type="dxa"/>
              <w:right w:w="95" w:type="dxa"/>
            </w:tcMar>
            <w:shd w:fill="F2F5F7"/>
          </w:tcPr>
          <w:p>
            <w:pPr>
              <w:spacing w:after="0" w:line="252" w:lineRule="auto"/>
            </w:pPr>
            <w:r>
              <w:rPr>
                <w:sz w:val="19"/>
              </w:rPr>
              <w:t>Unplanned duplicate work relative to all completed tasks</w:t>
            </w:r>
          </w:p>
        </w:tc>
      </w:tr>
      <w:tr>
        <w:trPr>
          <w:cantSplit/>
        </w:trPr>
        <w:tc>
          <w:tcPr>
            <w:tcW w:type="dxa" w:w="2016"/>
            <w:vAlign w:val="center"/>
            <w:tcMar>
              <w:top w:w="55" w:type="dxa"/>
              <w:bottom w:w="55" w:type="dxa"/>
              <w:left w:w="95" w:type="dxa"/>
              <w:right w:w="95" w:type="dxa"/>
            </w:tcMar>
          </w:tcPr>
          <w:p>
            <w:pPr>
              <w:spacing w:after="0" w:line="252" w:lineRule="auto"/>
            </w:pPr>
            <w:r>
              <w:rPr>
                <w:sz w:val="19"/>
              </w:rPr>
              <w:t>Coordination cost</w:t>
            </w:r>
          </w:p>
        </w:tc>
        <w:tc>
          <w:tcPr>
            <w:tcW w:type="dxa" w:w="7632"/>
            <w:vAlign w:val="center"/>
            <w:tcMar>
              <w:top w:w="55" w:type="dxa"/>
              <w:bottom w:w="55" w:type="dxa"/>
              <w:left w:w="95" w:type="dxa"/>
              <w:right w:w="95" w:type="dxa"/>
            </w:tcMar>
          </w:tcPr>
          <w:p>
            <w:pPr>
              <w:spacing w:after="0" w:line="252" w:lineRule="auto"/>
            </w:pPr>
            <w:r>
              <w:rPr>
                <w:sz w:val="19"/>
              </w:rPr>
              <w:t>Resources spent on scheduling, messages and consolidation</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Recovery</w:t>
            </w:r>
          </w:p>
        </w:tc>
        <w:tc>
          <w:tcPr>
            <w:tcW w:type="dxa" w:w="7632"/>
            <w:vAlign w:val="center"/>
            <w:tcMar>
              <w:top w:w="55" w:type="dxa"/>
              <w:bottom w:w="55" w:type="dxa"/>
              <w:left w:w="95" w:type="dxa"/>
              <w:right w:w="95" w:type="dxa"/>
            </w:tcMar>
            <w:shd w:fill="F2F5F7"/>
          </w:tcPr>
          <w:p>
            <w:pPr>
              <w:spacing w:after="0" w:line="252" w:lineRule="auto"/>
            </w:pPr>
            <w:r>
              <w:rPr>
                <w:sz w:val="19"/>
              </w:rPr>
              <w:t>Correct restoration after a controlled interruption</w:t>
            </w:r>
          </w:p>
        </w:tc>
      </w:tr>
      <w:tr>
        <w:trPr>
          <w:cantSplit/>
        </w:trPr>
        <w:tc>
          <w:tcPr>
            <w:tcW w:type="dxa" w:w="2016"/>
            <w:vAlign w:val="center"/>
            <w:tcMar>
              <w:top w:w="55" w:type="dxa"/>
              <w:bottom w:w="55" w:type="dxa"/>
              <w:left w:w="95" w:type="dxa"/>
              <w:right w:w="95" w:type="dxa"/>
            </w:tcMar>
          </w:tcPr>
          <w:p>
            <w:pPr>
              <w:spacing w:after="0" w:line="252" w:lineRule="auto"/>
            </w:pPr>
            <w:r>
              <w:rPr>
                <w:sz w:val="19"/>
              </w:rPr>
              <w:t>Calibration</w:t>
            </w:r>
          </w:p>
        </w:tc>
        <w:tc>
          <w:tcPr>
            <w:tcW w:type="dxa" w:w="7632"/>
            <w:vAlign w:val="center"/>
            <w:tcMar>
              <w:top w:w="55" w:type="dxa"/>
              <w:bottom w:w="55" w:type="dxa"/>
              <w:left w:w="95" w:type="dxa"/>
              <w:right w:w="95" w:type="dxa"/>
            </w:tcMar>
          </w:tcPr>
          <w:p>
            <w:pPr>
              <w:spacing w:after="0" w:line="252" w:lineRule="auto"/>
            </w:pPr>
            <w:r>
              <w:rPr>
                <w:sz w:val="19"/>
              </w:rPr>
              <w:t>Agreement between stated uncertainty and observed reliability</w:t>
            </w:r>
          </w:p>
        </w:tc>
      </w:tr>
    </w:tbl>
    <w:p>
      <w:pPr>
        <w:spacing w:after="40" w:before="0" w:line="240" w:lineRule="auto"/>
      </w:pPr>
      <w:r>
        <w:rPr>
          <w:sz w:val="4"/>
        </w:rPr>
      </w:r>
    </w:p>
    <w:p>
      <w:r>
        <w:t xml:space="preserve">Log model, prompt, harness, contract, source snapshot and verifier versions. Record tool calls, errors, task lineage, artifacts and usage. Trace data helps explain failures; it is not always a final bill. </w:t>
      </w:r>
      <w:hyperlink w:anchor="R21">
        <w:r>
          <w:rPr>
            <w:color w:val="244E68"/>
            <w:u w:val="single"/>
          </w:rPr>
          <w:t>[R21]</w:t>
        </w:r>
      </w:hyperlink>
      <w:r/>
    </w:p>
    <w:p>
      <w:r>
        <w:t>Change one mechanism at a time where feasible. Test branch count, memory retrieval, consolidation, review and ranking independently. Retain a component only when it improves the outcomes you value enough to justify its cost.</w:t>
      </w:r>
    </w:p>
    <w:p>
      <w:pPr>
        <w:pStyle w:val="Heading1"/>
        <w:pageBreakBefore/>
      </w:pPr>
      <w:r>
        <w:rPr>
          <w:color w:val="000000"/>
        </w:rPr>
        <w:t>12 New problem worksheet</w:t>
      </w:r>
    </w:p>
    <w:p>
      <w:r>
        <w:t>Complete this worksheet before copying the master prompt. Replace every required placeholder. If a field is unknown, specify who resolves it and whether it prevents dependent work.</w:t>
      </w:r>
    </w:p>
    <w:p>
      <w:pPr>
        <w:pStyle w:val="Heading2"/>
      </w:pPr>
      <w:r>
        <w:rPr>
          <w:color w:val="000000"/>
        </w:rPr>
        <w:t>Problem and evidence</w:t>
      </w:r>
    </w:p>
    <w:p>
      <w:pPr>
        <w:spacing w:after="80" w:line="240" w:lineRule="auto"/>
      </w:pPr>
      <w:r>
        <w:t>Problem title: [SHORT NAME]</w:t>
      </w:r>
    </w:p>
    <w:p>
      <w:pPr>
        <w:spacing w:after="80" w:line="240" w:lineRule="auto"/>
      </w:pPr>
      <w:r>
        <w:t>Exact question: [PRECISE QUESTION OR TARGET]</w:t>
      </w:r>
    </w:p>
    <w:p>
      <w:pPr>
        <w:spacing w:after="80" w:line="240" w:lineRule="auto"/>
      </w:pPr>
      <w:r>
        <w:t>Research mode: [MATHEMATICS / COMPUTATIONAL / LITERATURE / EMPIRICAL / MIXED]</w:t>
      </w:r>
    </w:p>
    <w:p>
      <w:pPr>
        <w:spacing w:after="80" w:line="240" w:lineRule="auto"/>
      </w:pPr>
      <w:r>
        <w:t>Definitions and assumptions: [TERMS, QUANTIFIERS, CONDITIONS]</w:t>
      </w:r>
    </w:p>
    <w:p>
      <w:pPr>
        <w:spacing w:after="80" w:line="240" w:lineRule="auto"/>
      </w:pPr>
      <w:r>
        <w:t>Allowed variants: [VARIANTS THAT ARE IN SCOPE]</w:t>
      </w:r>
    </w:p>
    <w:p>
      <w:pPr>
        <w:spacing w:after="80" w:line="240" w:lineRule="auto"/>
      </w:pPr>
      <w:r>
        <w:t>Exclusions: [QUESTIONS OR ACTIONS OUTSIDE SCOPE]</w:t>
      </w:r>
    </w:p>
    <w:p>
      <w:pPr>
        <w:spacing w:after="80" w:line="240" w:lineRule="auto"/>
      </w:pPr>
      <w:r>
        <w:t>Existing work: [KNOWN RESULTS, PRIOR ATTEMPTS AND ARTIFACTS]</w:t>
      </w:r>
    </w:p>
    <w:p>
      <w:pPr>
        <w:spacing w:after="80" w:line="240" w:lineRule="auto"/>
      </w:pPr>
      <w:r>
        <w:t>Evidence access: [FILES, DATA, PRIMARY SOURCES AND ACCESS LIMITS]</w:t>
      </w:r>
    </w:p>
    <w:p>
      <w:pPr>
        <w:spacing w:after="80" w:line="240" w:lineRule="auto"/>
      </w:pPr>
      <w:r>
        <w:t>Novelty requirement: [REQUIRED / OPTIONAL / NOT REQUIRED]</w:t>
      </w:r>
    </w:p>
    <w:p>
      <w:pPr>
        <w:pStyle w:val="Heading2"/>
      </w:pPr>
      <w:r>
        <w:rPr>
          <w:color w:val="000000"/>
        </w:rPr>
        <w:t>Acceptance and outputs</w:t>
      </w:r>
    </w:p>
    <w:p>
      <w:pPr>
        <w:spacing w:after="80" w:line="240" w:lineRule="auto"/>
      </w:pPr>
      <w:r>
        <w:t>Target success: [OBSERVABLE CONDITIONS THAT SATISFY THE QUESTION]</w:t>
      </w:r>
    </w:p>
    <w:p>
      <w:r>
        <w:t>Define success as answering the question with the required evidence, not obtaining a preferred positive effect. An inconclusive result may complete delivery while leaving the substantive target unresolved.</w:t>
      </w:r>
    </w:p>
    <w:p>
      <w:pPr>
        <w:spacing w:after="80" w:line="240" w:lineRule="auto"/>
      </w:pPr>
      <w:r>
        <w:t>Claim acceptance policy: [CHECKS, RUBRIC, THRESHOLDS AND SCOPE]</w:t>
      </w:r>
    </w:p>
    <w:p>
      <w:pPr>
        <w:spacing w:after="80" w:line="240" w:lineRule="auto"/>
      </w:pPr>
      <w:r>
        <w:t>Acceptance decision authority: [RUNTIME RULE OR NAMED HUMAN AND REQUIRED DOMAIN REVIEW]</w:t>
      </w:r>
    </w:p>
    <w:p>
      <w:pPr>
        <w:spacing w:after="80" w:line="240" w:lineRule="auto"/>
      </w:pPr>
      <w:r>
        <w:t>Verifier and repair authority: [PROTECTED PROCESS OR NAMED OWNER]</w:t>
      </w:r>
    </w:p>
    <w:p>
      <w:pPr>
        <w:spacing w:after="80" w:line="240" w:lineRule="auto"/>
      </w:pPr>
      <w:r>
        <w:t>Expected outputs: [REPORT, PROOF, CODE, EXPERIMENTS, DATA OR OTHER ARTIFACTS]</w:t>
      </w:r>
    </w:p>
    <w:p>
      <w:pPr>
        <w:spacing w:after="80" w:line="240" w:lineRule="auto"/>
      </w:pPr>
      <w:r>
        <w:t>Required reproducibility record: [VERSIONS, RUNS, SOURCES AND DIAGNOSTICS]</w:t>
      </w:r>
    </w:p>
    <w:p>
      <w:pPr>
        <w:pStyle w:val="Heading2"/>
      </w:pPr>
      <w:r>
        <w:rPr>
          <w:color w:val="000000"/>
        </w:rPr>
        <w:t>Execution configuration</w:t>
      </w:r>
    </w:p>
    <w:p>
      <w:pPr>
        <w:spacing w:after="80" w:line="240" w:lineRule="auto"/>
      </w:pPr>
      <w:r>
        <w:t>Available models and runtime: [ACTUAL MODEL IDS AND CAPABILITIES]</w:t>
      </w:r>
    </w:p>
    <w:p>
      <w:pPr>
        <w:spacing w:after="80" w:line="240" w:lineRule="auto"/>
      </w:pPr>
      <w:r>
        <w:t>Tools and permissions: [ALLOWED TOOLS AND ENFORCED LIMITS]</w:t>
      </w:r>
    </w:p>
    <w:p>
      <w:pPr>
        <w:spacing w:after="80" w:line="240" w:lineRule="auto"/>
      </w:pPr>
      <w:r>
        <w:t>Storage location: [PROJECT DIRECTORY AND RECORD STORE]</w:t>
      </w:r>
    </w:p>
    <w:p>
      <w:pPr>
        <w:spacing w:after="80" w:line="240" w:lineRule="auto"/>
      </w:pPr>
      <w:r>
        <w:t>Maximum total cost: [CURRENCY, TOKEN AND TOOL COST CAPS]</w:t>
      </w:r>
    </w:p>
    <w:p>
      <w:pPr>
        <w:spacing w:after="80" w:line="240" w:lineRule="auto"/>
      </w:pPr>
      <w:r>
        <w:t>Budget enforcement: [HARD OR BEST EFFORT, PER CALL BOUNDS, OVERSHOOT TOLERANCE]</w:t>
      </w:r>
    </w:p>
    <w:p>
      <w:pPr>
        <w:spacing w:after="80" w:line="240" w:lineRule="auto"/>
      </w:pPr>
      <w:r>
        <w:t>Maximum elapsed time: [LIMIT WITH TIMEZONE IF A DEADLINE IS USED]</w:t>
      </w:r>
    </w:p>
    <w:p>
      <w:pPr>
        <w:spacing w:after="80" w:line="240" w:lineRule="auto"/>
      </w:pPr>
      <w:r>
        <w:t>Concurrency: [MAXIMUM TOTAL ACTIVE CALLS, EXPLORATION WORKERS, ROOT ACCOUNTING]</w:t>
      </w:r>
    </w:p>
    <w:p>
      <w:pPr>
        <w:spacing w:after="80" w:line="240" w:lineRule="auto"/>
      </w:pPr>
      <w:r>
        <w:t>Delegation depth: [MAXIMUM DEPTH AND RUNTIME ENFORCEMENT]</w:t>
      </w:r>
    </w:p>
    <w:p>
      <w:pPr>
        <w:spacing w:after="80" w:line="240" w:lineRule="auto"/>
      </w:pPr>
      <w:r>
        <w:t>Verification and final reporting reserve: [RESOURCE AMOUNTS]</w:t>
      </w:r>
    </w:p>
    <w:p>
      <w:pPr>
        <w:spacing w:after="80" w:line="240" w:lineRule="auto"/>
      </w:pPr>
      <w:r>
        <w:t>Shutdown and reporting time reserve: [RESERVE BEFORE OVERALL DEADLINE]</w:t>
      </w:r>
    </w:p>
    <w:p>
      <w:pPr>
        <w:spacing w:after="80" w:line="240" w:lineRule="auto"/>
      </w:pPr>
      <w:r>
        <w:t>Stagnation rule: [PROGRESS DEFINITION AND CHECKPOINT WINDOW]</w:t>
      </w:r>
    </w:p>
    <w:p>
      <w:pPr>
        <w:spacing w:after="80" w:line="240" w:lineRule="auto"/>
      </w:pPr>
      <w:r>
        <w:t>Human checkpoints: [WHEN A HUMAN DECISION OR DOMAIN REVIEW IS NEEDED]</w:t>
      </w:r>
    </w:p>
    <w:p>
      <w:pPr>
        <w:spacing w:after="80" w:line="240" w:lineRule="auto"/>
      </w:pPr>
      <w:r>
        <w:t>Contract revision rule: [WHO CAN CHANGE TARGETS AND HOW IT IS RECORDED]</w:t>
      </w:r>
    </w:p>
    <w:p>
      <w:pPr>
        <w:pStyle w:val="Heading1"/>
        <w:pageBreakBefore/>
      </w:pPr>
      <w:r>
        <w:rPr>
          <w:color w:val="000000"/>
        </w:rPr>
        <w:t>13 Master research prompt</w:t>
      </w:r>
    </w:p>
    <w:p>
      <w:r>
        <w:t>Copy the prompt through Minimum records, replace its configuration fields, and attach the selected domain instructions. Transfer every worksheet value into the corresponding field. Role identifiers are filled at dispatch. The prompt is newly written for this architecture; runtime limits must also be configured outside it.</w:t>
      </w:r>
    </w:p>
    <w:p>
      <w:pPr>
        <w:pStyle w:val="Heading2"/>
      </w:pPr>
      <w:r>
        <w:rPr>
          <w:color w:val="000000"/>
        </w:rPr>
        <w:t>Problem contract</w:t>
      </w:r>
    </w:p>
    <w:p>
      <w:r>
        <w:t>You are the coordinator of a bounded research effort.</w:t>
      </w:r>
    </w:p>
    <w:p>
      <w:pPr>
        <w:spacing w:after="80" w:line="240" w:lineRule="auto"/>
      </w:pPr>
      <w:r>
        <w:t>Exact target: [QUESTION]</w:t>
      </w:r>
    </w:p>
    <w:p>
      <w:pPr>
        <w:spacing w:after="80" w:line="240" w:lineRule="auto"/>
      </w:pPr>
      <w:r>
        <w:t>Definitions and assumptions: [DEFINITIONS AND ASSUMPTIONS]</w:t>
      </w:r>
    </w:p>
    <w:p>
      <w:pPr>
        <w:spacing w:after="80" w:line="240" w:lineRule="auto"/>
      </w:pPr>
      <w:r>
        <w:t>Research mode: [MODE]</w:t>
      </w:r>
    </w:p>
    <w:p>
      <w:pPr>
        <w:spacing w:after="80" w:line="240" w:lineRule="auto"/>
      </w:pPr>
      <w:r>
        <w:t>Allowed variants and exclusions: [SCOPE]</w:t>
      </w:r>
    </w:p>
    <w:p>
      <w:pPr>
        <w:spacing w:after="80" w:line="240" w:lineRule="auto"/>
      </w:pPr>
      <w:r>
        <w:t>Existing work and evidence: [REFERENCES AND ARTIFACTS]</w:t>
      </w:r>
    </w:p>
    <w:p>
      <w:pPr>
        <w:spacing w:after="80" w:line="240" w:lineRule="auto"/>
      </w:pPr>
      <w:r>
        <w:t>Novelty requirement: [REQUIREMENT]</w:t>
      </w:r>
    </w:p>
    <w:p>
      <w:pPr>
        <w:spacing w:after="80" w:line="240" w:lineRule="auto"/>
      </w:pPr>
      <w:r>
        <w:t>Target success and claim acceptance: [CRITERIA AND CHECK METHODS]</w:t>
      </w:r>
    </w:p>
    <w:p>
      <w:pPr>
        <w:spacing w:after="80" w:line="240" w:lineRule="auto"/>
      </w:pPr>
      <w:r>
        <w:t>Acceptance decision authority: [ACCEPTANCE_AUTHORITY]</w:t>
      </w:r>
    </w:p>
    <w:p>
      <w:pPr>
        <w:spacing w:after="80" w:line="240" w:lineRule="auto"/>
      </w:pPr>
      <w:r>
        <w:t>Verifier and repair authority: [VERIFIER_AUTHORITY]</w:t>
      </w:r>
    </w:p>
    <w:p>
      <w:pPr>
        <w:spacing w:after="80" w:line="240" w:lineRule="auto"/>
      </w:pPr>
      <w:r>
        <w:t>Required outputs: [DELIVERABLES]</w:t>
      </w:r>
    </w:p>
    <w:p>
      <w:pPr>
        <w:spacing w:after="80" w:line="240" w:lineRule="auto"/>
      </w:pPr>
      <w:r>
        <w:t>Required reproducibility record: [REPRODUCIBILITY_REQUIREMENTS]</w:t>
      </w:r>
    </w:p>
    <w:p>
      <w:pPr>
        <w:spacing w:after="80" w:line="240" w:lineRule="auto"/>
      </w:pPr>
      <w:r>
        <w:t>Models, runtime, tools and permissions: [CAPABILITIES]</w:t>
      </w:r>
    </w:p>
    <w:p>
      <w:pPr>
        <w:spacing w:after="80" w:line="240" w:lineRule="auto"/>
      </w:pPr>
      <w:r>
        <w:t>Storage: [LOCATION]</w:t>
      </w:r>
    </w:p>
    <w:p>
      <w:pPr>
        <w:spacing w:after="80" w:line="240" w:lineRule="auto"/>
      </w:pPr>
      <w:r>
        <w:t>Maximum total cost and budget enforcement: [TOTAL_COST_CAP] and [HARD_OR_BEST_EFFORT_POLICY]</w:t>
      </w:r>
    </w:p>
    <w:p>
      <w:pPr>
        <w:spacing w:after="80" w:line="240" w:lineRule="auto"/>
      </w:pPr>
      <w:r>
        <w:t>Overall deadline and shutdown reserve: [DEADLINE] and [SHUTDOWN_AND_REPORTING_TIME]</w:t>
      </w:r>
    </w:p>
    <w:p>
      <w:pPr>
        <w:spacing w:after="80" w:line="240" w:lineRule="auto"/>
      </w:pPr>
      <w:r>
        <w:t>Maximum total active calls and accounting policy: [MAX_ACTIVE_CALLS] and [ROOT_AND_REVIEW_ACCOUNTING]</w:t>
      </w:r>
    </w:p>
    <w:p>
      <w:pPr>
        <w:spacing w:after="80" w:line="240" w:lineRule="auto"/>
      </w:pPr>
      <w:r>
        <w:t>Maximum exploration workers and delegation depth: [MAX_EXPLORATION_WORKERS] and [MAX_DEPTH]</w:t>
      </w:r>
    </w:p>
    <w:p>
      <w:pPr>
        <w:spacing w:after="80" w:line="240" w:lineRule="auto"/>
      </w:pPr>
      <w:r>
        <w:t>Reserved resources: [VERIFICATION_RESERVE] and [REPORTING_RESERVE]</w:t>
      </w:r>
    </w:p>
    <w:p>
      <w:pPr>
        <w:spacing w:after="80" w:line="240" w:lineRule="auto"/>
      </w:pPr>
      <w:r>
        <w:t>Stagnation rule and human checkpoints: [RULES]</w:t>
      </w:r>
    </w:p>
    <w:p>
      <w:pPr>
        <w:spacing w:after="80" w:line="240" w:lineRule="auto"/>
      </w:pPr>
      <w:r>
        <w:t>Contract revision authority: [AUTHORITY]</w:t>
      </w:r>
    </w:p>
    <w:p>
      <w:pPr>
        <w:pStyle w:val="Heading1"/>
        <w:pageBreakBefore/>
      </w:pPr>
      <w:r>
        <w:rPr>
          <w:color w:val="000000"/>
        </w:rPr>
        <w:t>Master research prompt operating instructions</w:t>
      </w:r>
    </w:p>
    <w:p>
      <w:r>
        <w:t>1. Confirm the target and actual capabilities. Resolve all required placeholders before launching dependent work. Distinguish unresolved questions that change the problem from ordinary implementation choices. Ask for missing information only when dependent work cannot proceed responsibly. Continue independent work. Record minor assumptions.</w:t>
      </w:r>
    </w:p>
    <w:p>
      <w:r>
        <w:t>2. Save the contract and a separate operational plan. Identify the target's dependency structure, known evidence, competing approaches, largest uncertainties and acceptance checks. Establish an appropriate reference: a reproducible comparison baseline, known results for proof work, or explicit source coverage for synthesis. Do not require novelty unless the contract does.</w:t>
      </w:r>
    </w:p>
    <w:p>
      <w:r>
        <w:t>3. Choose the simplest topology suitable for the work. Use one argument owner for tightly sequential reasoning. Delegate bounded independent tasks when useful. Respect [MAX_ACTIVE_CALLS], launch no more than [MAX_EXPLORATION_WORKERS] explorers, and respect [MAX_DEPTH]. Count root, review and descendant calls according to [ROOT_AND_REVIEW_ACCOUNTING]. If real delegation is unavailable, work sequentially and disclose the limitation.</w:t>
      </w:r>
    </w:p>
    <w:p>
      <w:r>
        <w:t>4. Give every task an ID, exact objective, boundaries, supplied facts and tentative assumptions, evidence references, permitted tools, resource limit, output requirements and completion condition. Avoid unplanned overlap. Deliberate replication must be labelled.</w:t>
      </w:r>
    </w:p>
    <w:p>
      <w:r>
        <w:t>5. Explore substantially different approaches before consolidating where the work allows it. Preserve candidate lineage and failed attempts. Workers submit concise findings with evidence locators, assumptions, objections, artifact IDs, checks actually run, unresolved gaps and one proposed next action.</w:t>
      </w:r>
    </w:p>
    <w:p>
      <w:r>
        <w:t>6. Maintain versioned records for claims, sources, artifacts, tasks, runs, reviews, checks and decisions. Keep execution state, research outcome, review, verification, acceptance and current applicability separate. Successful execution does not establish the target claim. Keep original evidence accessible behind summaries. If durable storage is unavailable, maintain and export a compact inline checkpoint record and disclose limited recovery. Do not claim a saved artifact exists unless it was created.</w:t>
      </w:r>
    </w:p>
    <w:p>
      <w:pPr>
        <w:pStyle w:val="Heading1"/>
        <w:pageBreakBefore/>
      </w:pPr>
      <w:r>
        <w:rPr>
          <w:color w:val="000000"/>
        </w:rPr>
        <w:t>Master research prompt continued</w:t>
      </w:r>
    </w:p>
    <w:p>
      <w:r>
        <w:t>7. Use review to expose gaps and choose useful checks. Review consequential candidates in a fresh context where possible. Distinguish independence of context from independence of model errors. Preserve disagreements and counterevidence until resolved.</w:t>
      </w:r>
    </w:p>
    <w:p>
      <w:r>
        <w:t>8. Use ranking only to allocate the next unit of effort. Consider relevance, expected information gained, feasibility, evidence, remaining objections and checking cost. Keep room for alternative explanations. Agreement, eloquence, a high score or repeated assertion cannot grant acceptance.</w:t>
      </w:r>
    </w:p>
    <w:p>
      <w:r>
        <w:t>9. Verify each consequential claim against the original contract and exact artifact version. Record the configured domain checks, inputs, versions, outcome, scope and remaining assumptions. Submit evidence, checks and unresolved objections to [ACCEPTANCE_AUTHORITY]. That owner or process records the decision, exact accepted scope and rationale. Until recorded, acceptance stays pending. The coordinator reports those decisions and cannot grant acceptance through confidence or agreement. If protected acceptance is unavailable, disclose that limitation and label conclusions by the checks actually completed. Never invent a source, execution or proof result.</w:t>
      </w:r>
    </w:p>
    <w:p>
      <w:r>
        <w:t>10. Research workers may propose verification repairs but must not modify the active acceptance machinery, trusted target, protected data or decision records. Send proposed changes to [VERIFIER_AUTHORITY]. A changed checker requires versioning and revalidation of affected results.</w:t>
      </w:r>
    </w:p>
    <w:p>
      <w:r>
        <w:t>11. Consolidate at meaningful checkpoints. Share compact packets containing checked findings, tentative candidates with their status, useful failures, unresolved objections and relevant artifact references. Retrieve original materials when precision matters. Avoid copying full transcripts to every worker.</w:t>
      </w:r>
    </w:p>
    <w:p>
      <w:r>
        <w:t>12. Update the operational plan when evidence changes. Record why a branch continues, forks, receives more resources or retires. Changing the goal or acceptance rule requires an explicit contract revision. Reassess affected claims rather than treating the new target as the old result.</w:t>
      </w:r>
    </w:p>
    <w:p>
      <w:r>
        <w:t>13. Follow runtime limits and preserve verification, reporting and shutdown reserves. Retain reservations for unknown or late usage. Call a cap hard only when the runtime enforces per-invocation bounds; otherwise follow the declared best effort policy. Replan after unchanged attempts or stagnation. At a limit, stop admissions and cancel research within the shutdown deadline. Preserve partial artifacts and unresolved charges. Report checked progress and any unresolved target.</w:t>
      </w:r>
    </w:p>
    <w:p>
      <w:r>
        <w:t>14. At completion, audit claim support, dependency validity, contradictory evidence, excluded runs and narrative consistency. Report investigation completion as objective satisfied within scope, partial progress, inconclusive or operationally blocked. Report each hypothesis as supported, refuted or inconclusive separately. A valid negative answer can satisfy the contract. Do not use budget exhaustion as evidence of success.</w:t>
      </w:r>
    </w:p>
    <w:p>
      <w:pPr>
        <w:pStyle w:val="Heading1"/>
        <w:pageBreakBefore/>
      </w:pPr>
      <w:r>
        <w:rPr>
          <w:color w:val="000000"/>
        </w:rPr>
        <w:t>Master research prompt reporting and records</w:t>
      </w:r>
    </w:p>
    <w:p>
      <w:pPr>
        <w:pStyle w:val="Heading2"/>
      </w:pPr>
      <w:r>
        <w:rPr>
          <w:color w:val="000000"/>
        </w:rPr>
        <w:t>Required final report</w:t>
      </w:r>
    </w:p>
    <w:p>
      <w:r>
        <w:t>Provide the exact target and contract version; the result and its accepted scope; an evidence and artifact index; methods and checks actually performed; limitations and unresolved objections; meaningful negative results and exclusions; resource use and runtime limitations; and reproducible instructions or the next discriminating action.</w:t>
      </w:r>
    </w:p>
    <w:p>
      <w:r>
        <w:t>List tentative hypotheses separately from accepted findings. Connect each material claim to its source, derivation, experiment or check record. If the outcome is partial, name the missing step without presenting budget exhaustion as success.</w:t>
      </w:r>
    </w:p>
    <w:p>
      <w:pPr>
        <w:pStyle w:val="Heading2"/>
      </w:pPr>
      <w:r>
        <w:rPr>
          <w:color w:val="000000"/>
        </w:rPr>
        <w:t>Minimum records</w:t>
      </w:r>
    </w:p>
    <w:p>
      <w:r>
        <w:t>Assign a run ID and contract ID at intake; start the contract at version 1. Create stable task, candidate, artifact, source, run, review, check and decision IDs. Each record names its producer and referenced versions. Tasks contain objectives, owners, dependencies, evidence, tools, limits and completion rules. Candidates contain statements, assumptions, parents, evidence, objections and proposed checks. Sources contain URL or file, version, retrieval date, exact locator and access limits. Artifacts and runs contain locations, hashes where available, environment and data versions, planned and actual settings, outputs, failures, exclusions and costs. Reviews contain rubric, objections and recommendation. Checks contain contract, artifact and checker versions, inputs, result, scope and diagnostics. Decisions contain candidate version, accepted scope, check IDs, authority, time and supersession links. Corrections create new versions.</w:t>
      </w:r>
    </w:p>
    <w:p>
      <w:r>
        <w:t>Use separate status fields. Task delivery: queued, leased, running, submitted, completed, failed, cancelled. Execution: not run, running, completed, error. Research outcome: unknown, supported, refuted, inconclusive. Review: pending, revisions required, ready, rejected. Verification: unchecked, passed, failed, inconclusive. Acceptance: pending, accepted, rejected, superseded. Applicability: active, under review, quarantined, superseded. A passed check or completed task does not grant acceptance.</w:t>
      </w:r>
    </w:p>
    <w:p>
      <w:r>
        <w:t>Raise integrity disputes to the acceptance authority for triage. Quarantined records cannot support new accepted conclusions. Retain their history and revalidate affected dependents before restoring applicability. Keep task leases, attempt IDs and retransmission IDs distinct when the runtime supports them.</w:t>
      </w:r>
    </w:p>
    <w:p>
      <w:pPr>
        <w:pStyle w:val="Heading1"/>
        <w:pageBreakBefore/>
      </w:pPr>
      <w:r>
        <w:rPr>
          <w:color w:val="000000"/>
        </w:rPr>
        <w:t>14 Role instructions</w:t>
      </w:r>
    </w:p>
    <w:p>
      <w:r>
        <w:t>These are dispatch templates. The coordinator fills every bracketed role field from the current records before dispatch. Include the task brief, relevant evidence, permitted tools, resource limit, completion condition and record schema. Do not pass unresolved placeholders. A role name grants no authority. Without real delegation, use labelled sequential role passes; do not call them parallel agents or independent contexts.</w:t>
      </w:r>
    </w:p>
    <w:p>
      <w:pPr>
        <w:pStyle w:val="Heading2"/>
      </w:pPr>
      <w:r>
        <w:rPr>
          <w:color w:val="000000"/>
        </w:rPr>
        <w:t>Research worker</w:t>
      </w:r>
    </w:p>
    <w:p>
      <w:r>
        <w:t>Investigate task [TASK_ID] within its objective, boundaries, evidence and resource limit. Form an approach suited to the task. Distinguish supplied facts from tentative assumptions. Use the actual available tools. Save original sources, code, outputs and failures with versioned artifact references. Report a concise finding, supporting evidence with exact locators, assumptions, counterevidence, checks actually run, unresolved gaps and the next useful action. Submit unknown or inconclusive outcomes when warranted. Request a new task through the coordinator rather than expanding your scope silently.</w:t>
      </w:r>
    </w:p>
    <w:p>
      <w:pPr>
        <w:pStyle w:val="Heading2"/>
      </w:pPr>
      <w:r>
        <w:rPr>
          <w:color w:val="000000"/>
        </w:rPr>
        <w:t>Independent reviewer</w:t>
      </w:r>
    </w:p>
    <w:p>
      <w:r>
        <w:t>Review candidate [CANDIDATE_ID_AND_VERSION] against contract [CONTRACT_VERSION]. Begin from the statement and evidence rather than the author's confidence. Identify unsupported steps, hidden assumptions, alternative explanations, inappropriate generalization and missing checks. Inspect original artifacts for consequential claims. Separate fatal defects from repairable issues. Return concrete objections, evidence locators, recommended tests and one recommendation: revisions required, ready for configured verification, or rejected. Your recommendation does not grant acceptance.</w:t>
      </w:r>
    </w:p>
    <w:p>
      <w:pPr>
        <w:pStyle w:val="Heading2"/>
      </w:pPr>
      <w:r>
        <w:rPr>
          <w:color w:val="000000"/>
        </w:rPr>
        <w:t>Verification analyst</w:t>
      </w:r>
    </w:p>
    <w:p>
      <w:r>
        <w:t>Check [ARTIFACT_VERSION] using [APPROVED_CHECK_CONFIGURATION]. Confirm the check addresses [TARGET_OR_CLAIM]. Execute only authorized checks and preserve diagnostics. Record exact inputs, environment, checker version, outcome and scope. Distinguish a test failure, execution error and inconclusive result. Inspect dependencies and intended meaning where relevant. Report suspected defects in the acceptance machinery through the maintenance process. Do not change trusted specifications or accept your own repair as active without authorization.</w:t>
      </w:r>
    </w:p>
    <w:p>
      <w:pPr>
        <w:pStyle w:val="Heading2"/>
      </w:pPr>
      <w:r>
        <w:rPr>
          <w:color w:val="000000"/>
        </w:rPr>
        <w:t>Consolidation and memory</w:t>
      </w:r>
    </w:p>
    <w:p>
      <w:r>
        <w:t>Prepare a checkpoint for [RUN_ID]. Summarize evidence gained, unresolved contradictions, failed approaches and active dependencies. Preserve verification and acceptance labels on every transferred claim. Link to original artifacts and record applicability conditions for reusable methods. Recommend next tasks with a brief rationale and cost estimate. Do not turn tentative claims into facts through compression. Do not discard negative results relevant to the conclusion.</w:t>
      </w:r>
    </w:p>
    <w:p>
      <w:pPr>
        <w:pStyle w:val="Heading2"/>
      </w:pPr>
      <w:r>
        <w:rPr>
          <w:color w:val="000000"/>
        </w:rPr>
        <w:t>Final editor</w:t>
      </w:r>
    </w:p>
    <w:p>
      <w:r>
        <w:t>Prepare the final report from accepted decision records and clearly labelled tentative candidates. Match the narrative to the original contract, actual sources, executed procedures and complete run registry. Check citations, numerical statements, exclusion reasons and scope. Keep the accepted conclusion no stronger than the evidence. Return unresolved conflicts for review rather than smoothing them away in prose.</w:t>
      </w:r>
    </w:p>
    <w:p>
      <w:pPr>
        <w:pStyle w:val="Heading1"/>
        <w:pageBreakBefore/>
      </w:pPr>
      <w:r>
        <w:rPr>
          <w:color w:val="000000"/>
        </w:rPr>
        <w:t>15 Domain instructions</w:t>
      </w:r>
    </w:p>
    <w:p>
      <w:r>
        <w:t>Attach the applicable instructions to the master prompt. Mixed problems may need more than one set, with separate acceptance criteria for each output.</w:t>
      </w:r>
    </w:p>
    <w:p>
      <w:pPr>
        <w:pStyle w:val="Heading2"/>
      </w:pPr>
      <w:r>
        <w:rPr>
          <w:color w:val="000000"/>
        </w:rPr>
        <w:t>Mathematics</w:t>
      </w:r>
    </w:p>
    <w:p>
      <w:r>
        <w:t>Write the exact target with its quantifiers, definitions, domain, regularity assumptions and boundary conditions. Identify which variants would settle the contract and which would only provide intermediate progress. Keep one owner for a tightly dependent argument; use workers for bounded lemmas, counterexample attempts, literature and formalization.</w:t>
      </w:r>
    </w:p>
    <w:p>
      <w:r>
        <w:t>Label conjectures, informal arguments, checked calculations and formal proofs separately. Check that every lemma applies under the target assumptions. Test examples and limiting cases where useful, while retaining the distinction between numerical evidence and proof.</w:t>
      </w:r>
    </w:p>
    <w:p>
      <w:r>
        <w:t>If formal checking is available, preserve an independently reviewed target statement and permitted axiom policy. Check elaborated semantics, dependencies and definition changes as well as kernel acceptance. Record all versions and actual outcomes. If formalization fails, retain the useful argument and the exact gap. Report what is proved and what remains conjectural.</w:t>
      </w:r>
    </w:p>
    <w:p>
      <w:pPr>
        <w:pStyle w:val="Heading2"/>
      </w:pPr>
      <w:r>
        <w:rPr>
          <w:color w:val="000000"/>
        </w:rPr>
        <w:t>Computational research</w:t>
      </w:r>
    </w:p>
    <w:p>
      <w:r>
        <w:t>Specify the hypothesis, protected dataset, splits, baseline, metric and comparison policy before final evaluation. Record planned and actual settings. Use diagnostic scaffolds only to validate feasibility. Before the contract's final evaluation, audit mocks, diagnostic sample limits, method activation, data handling and metric computation. Apply the registered final dataset and execution settings.</w:t>
      </w:r>
    </w:p>
    <w:p>
      <w:r>
        <w:t>Keep separate workspaces and preserve original data. Register all attempted runs, seeds, failures and exclusions. Explain changes to the experimental plan. Compare methods under appropriate resource conditions, report variability and inspect whether an apparent gain survives reasonable checks. Do not adjust the protected test evaluation to make a method look better.</w:t>
      </w:r>
    </w:p>
    <w:p>
      <w:r>
        <w:t>Match numerical claims to actual execution records and code paths. Check for leakage, selective reporting and a mismatch between the method described and the method executed. Replicate consequential results from the pinned artifacts when feasible. A successful run without sound design remains insufficient for acceptance.</w:t>
      </w:r>
    </w:p>
    <w:p>
      <w:pPr>
        <w:pStyle w:val="Heading2"/>
      </w:pPr>
      <w:r>
        <w:rPr>
          <w:color w:val="000000"/>
        </w:rPr>
        <w:t>Literature and evidence synthesis</w:t>
      </w:r>
    </w:p>
    <w:p>
      <w:r>
        <w:t>Define the search scope, date horizon, source standard and coverage requirement. Prefer primary material. Retrieve and inspect the sources behind consequential claims. Record exact versions and locators, access limitations and conflicting accounts. Distinguish absence of retrieved evidence from evidence of absence.</w:t>
      </w:r>
    </w:p>
    <w:p>
      <w:r>
        <w:t>Track which claims share an original source. Check support strength, conditions and dates before synthesis. Novelty conclusions require an explicit search scope and uncertainty statement. Deliver a source-linked answer with accepted findings, contested claims and remaining coverage gaps.</w:t>
      </w:r>
    </w:p>
    <w:p>
      <w:pPr>
        <w:pStyle w:val="Heading2"/>
      </w:pPr>
      <w:r>
        <w:rPr>
          <w:color w:val="000000"/>
        </w:rPr>
        <w:t>Empirical science</w:t>
      </w:r>
    </w:p>
    <w:p>
      <w:r>
        <w:t>Specify measurable predictions, controls, calibration, measurement uncertainty, comparison rules and required domain review. Distinguish a proposed experiment from one actually performed. Preserve negative findings, deviations and raw measurements. Accept conclusions only within the tested conditions and established measurement validity.</w:t>
      </w:r>
    </w:p>
    <w:p>
      <w:pPr>
        <w:pStyle w:val="Heading1"/>
        <w:pageBreakBefore/>
      </w:pPr>
      <w:r>
        <w:rPr>
          <w:color w:val="000000"/>
        </w:rPr>
        <w:t>16 Worked example</w:t>
      </w:r>
    </w:p>
    <w:p>
      <w:pPr>
        <w:pStyle w:val="Heading2"/>
      </w:pPr>
      <w:r>
        <w:rPr>
          <w:color w:val="000000"/>
        </w:rPr>
        <w:t>Computational method comparison</w:t>
      </w:r>
    </w:p>
    <w:p>
      <w:r>
        <w:t>Example target: determine whether a proposed optimizer improves validation performance on a fixed classification dataset relative to a specified baseline under a matched training budget. This example illustrates the workflow; it makes no claim about any optimizer's performance.</w:t>
      </w:r>
    </w:p>
    <w:p>
      <w:r>
        <w:t>The contract names the protected dataset snapshot, split policy, evaluation metric, baseline implementation, budget and acceptance rule. Novelty is optional. Success requires a valid comparison and reproducible evidence for the stated dataset. The contract permits a negative or inconclusive result.</w:t>
      </w:r>
    </w:p>
    <w:p>
      <w:r>
        <w:t>The coordinator starts three bounded tasks. Worker A reproduces the baseline. Worker B implements and checks the proposed method. Worker C examines the evaluation procedure, likely confounds and relevant literature. They receive shared definitions but do not copy each other's conclusions before the first checkpoint.</w:t>
      </w:r>
    </w:p>
    <w:p>
      <w:pPr>
        <w:pStyle w:val="Heading2"/>
      </w:pPr>
      <w:r>
        <w:rPr>
          <w:color w:val="000000"/>
        </w:rPr>
        <w:t>Records through one 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3888"/>
      </w:tblGrid>
      <w:tr>
        <w:trPr>
          <w:cantSplit/>
          <w:tblHeader w:val="true"/>
        </w:trPr>
        <w:tc>
          <w:tcPr>
            <w:tcW w:type="dxa" w:w="2016"/>
            <w:vAlign w:val="center"/>
            <w:tcMar>
              <w:top w:w="55" w:type="dxa"/>
              <w:bottom w:w="55" w:type="dxa"/>
              <w:left w:w="95" w:type="dxa"/>
              <w:right w:w="95" w:type="dxa"/>
            </w:tcMar>
            <w:shd w:fill="36454F"/>
          </w:tcPr>
          <w:p>
            <w:pPr>
              <w:spacing w:after="0" w:line="252" w:lineRule="auto"/>
            </w:pPr>
            <w:r>
              <w:rPr>
                <w:b/>
                <w:color w:val="FFFFFF"/>
                <w:sz w:val="19"/>
              </w:rPr>
              <w:t>Event</w:t>
            </w:r>
          </w:p>
        </w:tc>
        <w:tc>
          <w:tcPr>
            <w:tcW w:type="dxa" w:w="3744"/>
            <w:vAlign w:val="center"/>
            <w:tcMar>
              <w:top w:w="55" w:type="dxa"/>
              <w:bottom w:w="55" w:type="dxa"/>
              <w:left w:w="95" w:type="dxa"/>
              <w:right w:w="95" w:type="dxa"/>
            </w:tcMar>
            <w:shd w:fill="36454F"/>
          </w:tcPr>
          <w:p>
            <w:pPr>
              <w:spacing w:after="0" w:line="252" w:lineRule="auto"/>
            </w:pPr>
            <w:r>
              <w:rPr>
                <w:b/>
                <w:color w:val="FFFFFF"/>
                <w:sz w:val="19"/>
              </w:rPr>
              <w:t>Record update</w:t>
            </w:r>
          </w:p>
        </w:tc>
        <w:tc>
          <w:tcPr>
            <w:tcW w:type="dxa" w:w="3888"/>
            <w:vAlign w:val="center"/>
            <w:tcMar>
              <w:top w:w="55" w:type="dxa"/>
              <w:bottom w:w="55" w:type="dxa"/>
              <w:left w:w="95" w:type="dxa"/>
              <w:right w:w="95" w:type="dxa"/>
            </w:tcMar>
            <w:shd w:fill="36454F"/>
          </w:tcPr>
          <w:p>
            <w:pPr>
              <w:spacing w:after="0" w:line="252" w:lineRule="auto"/>
            </w:pPr>
            <w:r>
              <w:rPr>
                <w:b/>
                <w:color w:val="FFFFFF"/>
                <w:sz w:val="19"/>
              </w:rPr>
              <w:t>Decision</w:t>
            </w:r>
          </w:p>
        </w:tc>
      </w:tr>
      <w:tr>
        <w:trPr>
          <w:cantSplit/>
        </w:trPr>
        <w:tc>
          <w:tcPr>
            <w:tcW w:type="dxa" w:w="2016"/>
            <w:vAlign w:val="center"/>
            <w:tcMar>
              <w:top w:w="55" w:type="dxa"/>
              <w:bottom w:w="55" w:type="dxa"/>
              <w:left w:w="95" w:type="dxa"/>
              <w:right w:w="95" w:type="dxa"/>
            </w:tcMar>
          </w:tcPr>
          <w:p>
            <w:pPr>
              <w:spacing w:after="0" w:line="252" w:lineRule="auto"/>
            </w:pPr>
            <w:r>
              <w:rPr>
                <w:sz w:val="19"/>
              </w:rPr>
              <w:t>Baseline executes</w:t>
            </w:r>
          </w:p>
        </w:tc>
        <w:tc>
          <w:tcPr>
            <w:tcW w:type="dxa" w:w="3744"/>
            <w:vAlign w:val="center"/>
            <w:tcMar>
              <w:top w:w="55" w:type="dxa"/>
              <w:bottom w:w="55" w:type="dxa"/>
              <w:left w:w="95" w:type="dxa"/>
              <w:right w:w="95" w:type="dxa"/>
            </w:tcMar>
          </w:tcPr>
          <w:p>
            <w:pPr>
              <w:spacing w:after="0" w:line="252" w:lineRule="auto"/>
            </w:pPr>
            <w:r>
              <w:rPr>
                <w:sz w:val="19"/>
              </w:rPr>
              <w:t>Execution completed; artifacts and settings saved</w:t>
            </w:r>
          </w:p>
        </w:tc>
        <w:tc>
          <w:tcPr>
            <w:tcW w:type="dxa" w:w="3888"/>
            <w:vAlign w:val="center"/>
            <w:tcMar>
              <w:top w:w="55" w:type="dxa"/>
              <w:bottom w:w="55" w:type="dxa"/>
              <w:left w:w="95" w:type="dxa"/>
              <w:right w:w="95" w:type="dxa"/>
            </w:tcMar>
          </w:tcPr>
          <w:p>
            <w:pPr>
              <w:spacing w:after="0" w:line="252" w:lineRule="auto"/>
            </w:pPr>
            <w:r>
              <w:rPr>
                <w:sz w:val="19"/>
              </w:rPr>
              <w:t>Baseline eligible for review</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New method appears to improve</w:t>
            </w:r>
          </w:p>
        </w:tc>
        <w:tc>
          <w:tcPr>
            <w:tcW w:type="dxa" w:w="3744"/>
            <w:vAlign w:val="center"/>
            <w:tcMar>
              <w:top w:w="55" w:type="dxa"/>
              <w:bottom w:w="55" w:type="dxa"/>
              <w:left w:w="95" w:type="dxa"/>
              <w:right w:w="95" w:type="dxa"/>
            </w:tcMar>
            <w:shd w:fill="F2F5F7"/>
          </w:tcPr>
          <w:p>
            <w:pPr>
              <w:spacing w:after="0" w:line="252" w:lineRule="auto"/>
            </w:pPr>
            <w:r>
              <w:rPr>
                <w:sz w:val="19"/>
              </w:rPr>
              <w:t>Candidate submitted; research outcome unknown; acceptance pending</w:t>
            </w:r>
          </w:p>
        </w:tc>
        <w:tc>
          <w:tcPr>
            <w:tcW w:type="dxa" w:w="3888"/>
            <w:vAlign w:val="center"/>
            <w:tcMar>
              <w:top w:w="55" w:type="dxa"/>
              <w:bottom w:w="55" w:type="dxa"/>
              <w:left w:w="95" w:type="dxa"/>
              <w:right w:w="95" w:type="dxa"/>
            </w:tcMar>
            <w:shd w:fill="F2F5F7"/>
          </w:tcPr>
          <w:p>
            <w:pPr>
              <w:spacing w:after="0" w:line="252" w:lineRule="auto"/>
            </w:pPr>
            <w:r>
              <w:rPr>
                <w:sz w:val="19"/>
              </w:rPr>
              <w:t>Inspect code and comparison conditions</w:t>
            </w:r>
          </w:p>
        </w:tc>
      </w:tr>
      <w:tr>
        <w:trPr>
          <w:cantSplit/>
        </w:trPr>
        <w:tc>
          <w:tcPr>
            <w:tcW w:type="dxa" w:w="2016"/>
            <w:vAlign w:val="center"/>
            <w:tcMar>
              <w:top w:w="55" w:type="dxa"/>
              <w:bottom w:w="55" w:type="dxa"/>
              <w:left w:w="95" w:type="dxa"/>
              <w:right w:w="95" w:type="dxa"/>
            </w:tcMar>
          </w:tcPr>
          <w:p>
            <w:pPr>
              <w:spacing w:after="0" w:line="252" w:lineRule="auto"/>
            </w:pPr>
            <w:r>
              <w:rPr>
                <w:sz w:val="19"/>
              </w:rPr>
              <w:t>Reviewer finds different preprocessing</w:t>
            </w:r>
          </w:p>
        </w:tc>
        <w:tc>
          <w:tcPr>
            <w:tcW w:type="dxa" w:w="3744"/>
            <w:vAlign w:val="center"/>
            <w:tcMar>
              <w:top w:w="55" w:type="dxa"/>
              <w:bottom w:w="55" w:type="dxa"/>
              <w:left w:w="95" w:type="dxa"/>
              <w:right w:w="95" w:type="dxa"/>
            </w:tcMar>
          </w:tcPr>
          <w:p>
            <w:pPr>
              <w:spacing w:after="0" w:line="252" w:lineRule="auto"/>
            </w:pPr>
            <w:r>
              <w:rPr>
                <w:sz w:val="19"/>
              </w:rPr>
              <w:t>Objection linked to both run versions</w:t>
            </w:r>
          </w:p>
        </w:tc>
        <w:tc>
          <w:tcPr>
            <w:tcW w:type="dxa" w:w="3888"/>
            <w:vAlign w:val="center"/>
            <w:tcMar>
              <w:top w:w="55" w:type="dxa"/>
              <w:bottom w:w="55" w:type="dxa"/>
              <w:left w:w="95" w:type="dxa"/>
              <w:right w:w="95" w:type="dxa"/>
            </w:tcMar>
          </w:tcPr>
          <w:p>
            <w:pPr>
              <w:spacing w:after="0" w:line="252" w:lineRule="auto"/>
            </w:pPr>
            <w:r>
              <w:rPr>
                <w:sz w:val="19"/>
              </w:rPr>
              <w:t>Comparison inconclusive; revise implementation</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Corrected comparison executes</w:t>
            </w:r>
          </w:p>
        </w:tc>
        <w:tc>
          <w:tcPr>
            <w:tcW w:type="dxa" w:w="3744"/>
            <w:vAlign w:val="center"/>
            <w:tcMar>
              <w:top w:w="55" w:type="dxa"/>
              <w:bottom w:w="55" w:type="dxa"/>
              <w:left w:w="95" w:type="dxa"/>
              <w:right w:w="95" w:type="dxa"/>
            </w:tcMar>
            <w:shd w:fill="F2F5F7"/>
          </w:tcPr>
          <w:p>
            <w:pPr>
              <w:spacing w:after="0" w:line="252" w:lineRule="auto"/>
            </w:pPr>
            <w:r>
              <w:rPr>
                <w:sz w:val="19"/>
              </w:rPr>
              <w:t>New child artifacts and complete run registry</w:t>
            </w:r>
          </w:p>
        </w:tc>
        <w:tc>
          <w:tcPr>
            <w:tcW w:type="dxa" w:w="3888"/>
            <w:vAlign w:val="center"/>
            <w:tcMar>
              <w:top w:w="55" w:type="dxa"/>
              <w:bottom w:w="55" w:type="dxa"/>
              <w:left w:w="95" w:type="dxa"/>
              <w:right w:w="95" w:type="dxa"/>
            </w:tcMar>
            <w:shd w:fill="F2F5F7"/>
          </w:tcPr>
          <w:p>
            <w:pPr>
              <w:spacing w:after="0" w:line="252" w:lineRule="auto"/>
            </w:pPr>
            <w:r>
              <w:rPr>
                <w:sz w:val="19"/>
              </w:rPr>
              <w:t>Run reproducibility and robustness checks</w:t>
            </w:r>
          </w:p>
        </w:tc>
      </w:tr>
      <w:tr>
        <w:trPr>
          <w:cantSplit/>
        </w:trPr>
        <w:tc>
          <w:tcPr>
            <w:tcW w:type="dxa" w:w="2016"/>
            <w:vAlign w:val="center"/>
            <w:tcMar>
              <w:top w:w="55" w:type="dxa"/>
              <w:bottom w:w="55" w:type="dxa"/>
              <w:left w:w="95" w:type="dxa"/>
              <w:right w:w="95" w:type="dxa"/>
            </w:tcMar>
          </w:tcPr>
          <w:p>
            <w:pPr>
              <w:spacing w:after="0" w:line="252" w:lineRule="auto"/>
            </w:pPr>
            <w:r>
              <w:rPr>
                <w:sz w:val="19"/>
              </w:rPr>
              <w:t>Checks pass within stated scope</w:t>
            </w:r>
          </w:p>
        </w:tc>
        <w:tc>
          <w:tcPr>
            <w:tcW w:type="dxa" w:w="3744"/>
            <w:vAlign w:val="center"/>
            <w:tcMar>
              <w:top w:w="55" w:type="dxa"/>
              <w:bottom w:w="55" w:type="dxa"/>
              <w:left w:w="95" w:type="dxa"/>
              <w:right w:w="95" w:type="dxa"/>
            </w:tcMar>
          </w:tcPr>
          <w:p>
            <w:pPr>
              <w:spacing w:after="0" w:line="252" w:lineRule="auto"/>
            </w:pPr>
            <w:r>
              <w:rPr>
                <w:sz w:val="19"/>
              </w:rPr>
              <w:t>Verification records saved</w:t>
            </w:r>
          </w:p>
        </w:tc>
        <w:tc>
          <w:tcPr>
            <w:tcW w:type="dxa" w:w="3888"/>
            <w:vAlign w:val="center"/>
            <w:tcMar>
              <w:top w:w="55" w:type="dxa"/>
              <w:bottom w:w="55" w:type="dxa"/>
              <w:left w:w="95" w:type="dxa"/>
              <w:right w:w="95" w:type="dxa"/>
            </w:tcMar>
          </w:tcPr>
          <w:p>
            <w:pPr>
              <w:spacing w:after="0" w:line="252" w:lineRule="auto"/>
            </w:pPr>
            <w:r>
              <w:rPr>
                <w:sz w:val="19"/>
              </w:rPr>
              <w:t>Apply contract acceptance rule</w:t>
            </w:r>
          </w:p>
        </w:tc>
      </w:tr>
      <w:tr>
        <w:trPr>
          <w:cantSplit/>
        </w:trPr>
        <w:tc>
          <w:tcPr>
            <w:tcW w:type="dxa" w:w="2016"/>
            <w:vAlign w:val="center"/>
            <w:tcMar>
              <w:top w:w="55" w:type="dxa"/>
              <w:bottom w:w="55" w:type="dxa"/>
              <w:left w:w="95" w:type="dxa"/>
              <w:right w:w="95" w:type="dxa"/>
            </w:tcMar>
            <w:shd w:fill="F2F5F7"/>
          </w:tcPr>
          <w:p>
            <w:pPr>
              <w:spacing w:after="0" w:line="252" w:lineRule="auto"/>
            </w:pPr>
            <w:r>
              <w:rPr>
                <w:sz w:val="19"/>
              </w:rPr>
              <w:t>Effect remains uncertain</w:t>
            </w:r>
          </w:p>
        </w:tc>
        <w:tc>
          <w:tcPr>
            <w:tcW w:type="dxa" w:w="3744"/>
            <w:vAlign w:val="center"/>
            <w:tcMar>
              <w:top w:w="55" w:type="dxa"/>
              <w:bottom w:w="55" w:type="dxa"/>
              <w:left w:w="95" w:type="dxa"/>
              <w:right w:w="95" w:type="dxa"/>
            </w:tcMar>
            <w:shd w:fill="F2F5F7"/>
          </w:tcPr>
          <w:p>
            <w:pPr>
              <w:spacing w:after="0" w:line="252" w:lineRule="auto"/>
            </w:pPr>
            <w:r>
              <w:rPr>
                <w:sz w:val="19"/>
              </w:rPr>
              <w:t>Research outcome inconclusive</w:t>
            </w:r>
          </w:p>
        </w:tc>
        <w:tc>
          <w:tcPr>
            <w:tcW w:type="dxa" w:w="3888"/>
            <w:vAlign w:val="center"/>
            <w:tcMar>
              <w:top w:w="55" w:type="dxa"/>
              <w:bottom w:w="55" w:type="dxa"/>
              <w:left w:w="95" w:type="dxa"/>
              <w:right w:w="95" w:type="dxa"/>
            </w:tcMar>
            <w:shd w:fill="F2F5F7"/>
          </w:tcPr>
          <w:p>
            <w:pPr>
              <w:spacing w:after="0" w:line="252" w:lineRule="auto"/>
            </w:pPr>
            <w:r>
              <w:rPr>
                <w:sz w:val="19"/>
              </w:rPr>
              <w:t>Report uncertainty and next discriminating test</w:t>
            </w:r>
          </w:p>
        </w:tc>
      </w:tr>
    </w:tbl>
    <w:p>
      <w:pPr>
        <w:spacing w:after="40" w:before="0" w:line="240" w:lineRule="auto"/>
      </w:pPr>
      <w:r>
        <w:rPr>
          <w:sz w:val="4"/>
        </w:rPr>
      </w:r>
    </w:p>
    <w:p>
      <w:r>
        <w:t>The coordinator never rewrites the original candidate to erase the preprocessing error. The corrected method becomes a new version. Earlier runs remain in the registry and the final report explains which comparison is valid and why.</w:t>
      </w:r>
    </w:p>
    <w:p>
      <w:r>
        <w:t>The final report includes the contract, executed implementations, data snapshot, seeds, metrics, exclusions, costs and verification scope. It states the observed result under the fixed conditions. If the budget ends before required replication, acceptance remains pending or rejected according to the configured policy; the research outcome retains its measured uncertainty. Delivery can finish while the substantive target remains unresolved.</w:t>
      </w:r>
    </w:p>
    <w:p>
      <w:pPr>
        <w:pStyle w:val="Heading2"/>
      </w:pPr>
      <w:r>
        <w:rPr>
          <w:color w:val="000000"/>
        </w:rPr>
        <w:t>Transfer to a proof problem</w:t>
      </w:r>
    </w:p>
    <w:p>
      <w:r>
        <w:t>Replace runs with lemma or proof artifacts, baseline checks with known results and sanity cases, and metric checks with theorem-statement and proof validation. A lemma that applies only under stronger assumptions remains intermediate progress until those assumptions match the target. Changing the theorem to fit the lemma creates a new variant, not a solution to the original contract.</w:t>
      </w:r>
    </w:p>
    <w:p>
      <w:pPr>
        <w:pStyle w:val="Heading1"/>
        <w:pageBreakBefore/>
      </w:pPr>
      <w:r>
        <w:rPr>
          <w:color w:val="000000"/>
        </w:rPr>
        <w:t>17 Consistency and release checklist</w:t>
      </w:r>
    </w:p>
    <w:p>
      <w:r>
        <w:t>Use this checklist during review and again before final acceptance. The checklist is part of the proposed procedure; completing it is not a guarantee of correctness.</w:t>
      </w:r>
    </w:p>
    <w:p>
      <w:pPr>
        <w:pStyle w:val="Heading2"/>
      </w:pPr>
      <w:r>
        <w:rPr>
          <w:color w:val="000000"/>
        </w:rPr>
        <w:t>Contract and authority</w:t>
      </w:r>
    </w:p>
    <w:p>
      <w:pPr>
        <w:pStyle w:val="ListBullet"/>
        <w:spacing w:after="80"/>
      </w:pPr>
      <w:r>
        <w:t>The final result addresses the same contract version as the verification records.</w:t>
      </w:r>
    </w:p>
    <w:p>
      <w:pPr>
        <w:pStyle w:val="ListBullet"/>
        <w:spacing w:after="80"/>
      </w:pPr>
      <w:r>
        <w:t>Definitions, assumptions, variants and exclusions remain explicit.</w:t>
      </w:r>
    </w:p>
    <w:p>
      <w:pPr>
        <w:pStyle w:val="ListBullet"/>
        <w:spacing w:after="80"/>
      </w:pPr>
      <w:r>
        <w:t>Changes to the target or acceptance policy were versioned and reassessed.</w:t>
      </w:r>
    </w:p>
    <w:p>
      <w:pPr>
        <w:pStyle w:val="ListBullet"/>
        <w:spacing w:after="80"/>
      </w:pPr>
      <w:r>
        <w:t>Research workers cannot alter active acceptance controls or protected data.</w:t>
      </w:r>
    </w:p>
    <w:p>
      <w:pPr>
        <w:pStyle w:val="ListBullet"/>
        <w:spacing w:after="80"/>
      </w:pPr>
      <w:r>
        <w:t>Runtime capabilities and limits match what the prompt claims is available.</w:t>
      </w:r>
    </w:p>
    <w:p>
      <w:pPr>
        <w:pStyle w:val="Heading2"/>
      </w:pPr>
      <w:r>
        <w:rPr>
          <w:color w:val="000000"/>
        </w:rPr>
        <w:t>Records and evidence</w:t>
      </w:r>
    </w:p>
    <w:p>
      <w:pPr>
        <w:pStyle w:val="ListBullet"/>
        <w:spacing w:after="80"/>
      </w:pPr>
      <w:r>
        <w:t>Claims reference original sources or artifacts with exact versions and locators.</w:t>
      </w:r>
    </w:p>
    <w:p>
      <w:pPr>
        <w:pStyle w:val="ListBullet"/>
        <w:spacing w:after="80"/>
      </w:pPr>
      <w:r>
        <w:t>Execution, research outcome, review, verification, acceptance and applicability are separate.</w:t>
      </w:r>
    </w:p>
    <w:p>
      <w:pPr>
        <w:pStyle w:val="ListBullet"/>
        <w:spacing w:after="80"/>
      </w:pPr>
      <w:r>
        <w:t>Failed attempts and relevant negative evidence remain accessible.</w:t>
      </w:r>
    </w:p>
    <w:p>
      <w:pPr>
        <w:pStyle w:val="ListBullet"/>
        <w:spacing w:after="80"/>
      </w:pPr>
      <w:r>
        <w:t>Candidate lineage and shared dependencies are recorded.</w:t>
      </w:r>
    </w:p>
    <w:p>
      <w:pPr>
        <w:pStyle w:val="ListBullet"/>
        <w:spacing w:after="80"/>
      </w:pPr>
      <w:r>
        <w:t>Disputed or superseded evidence triggers review of affected dependents.</w:t>
      </w:r>
    </w:p>
    <w:p>
      <w:pPr>
        <w:pStyle w:val="Heading2"/>
      </w:pPr>
      <w:r>
        <w:rPr>
          <w:color w:val="000000"/>
        </w:rPr>
        <w:t>Verification and reporting</w:t>
      </w:r>
    </w:p>
    <w:p>
      <w:pPr>
        <w:pStyle w:val="ListBullet"/>
        <w:spacing w:after="80"/>
      </w:pPr>
      <w:r>
        <w:t>Checks address the intended claim and preserve its scope.</w:t>
      </w:r>
    </w:p>
    <w:p>
      <w:pPr>
        <w:pStyle w:val="ListBullet"/>
        <w:spacing w:after="80"/>
      </w:pPr>
      <w:r>
        <w:t>A formal proof is aligned with the intended statement and allowed dependencies.</w:t>
      </w:r>
    </w:p>
    <w:p>
      <w:pPr>
        <w:pStyle w:val="ListBullet"/>
        <w:spacing w:after="80"/>
      </w:pPr>
      <w:r>
        <w:t>Experiments use actual implementations, valid metrics and protected evaluation data.</w:t>
      </w:r>
    </w:p>
    <w:p>
      <w:pPr>
        <w:pStyle w:val="ListBullet"/>
        <w:spacing w:after="80"/>
      </w:pPr>
      <w:r>
        <w:t>Attempted, excluded and reported runs reconcile.</w:t>
      </w:r>
    </w:p>
    <w:p>
      <w:pPr>
        <w:pStyle w:val="ListBullet"/>
        <w:spacing w:after="80"/>
      </w:pPr>
      <w:r>
        <w:t>A literature conclusion respects source support and search limitations.</w:t>
      </w:r>
    </w:p>
    <w:p>
      <w:pPr>
        <w:pStyle w:val="ListBullet"/>
        <w:spacing w:after="80"/>
      </w:pPr>
      <w:r>
        <w:t>Agreement, ranking, successful execution and log matching are not substituted for acceptance evidence.</w:t>
      </w:r>
    </w:p>
    <w:p>
      <w:pPr>
        <w:pStyle w:val="ListBullet"/>
        <w:spacing w:after="80"/>
      </w:pPr>
      <w:r>
        <w:t>The report names unavailable checks and unresolved objections.</w:t>
      </w:r>
    </w:p>
    <w:p>
      <w:pPr>
        <w:pStyle w:val="Heading2"/>
      </w:pPr>
      <w:r>
        <w:rPr>
          <w:color w:val="000000"/>
        </w:rPr>
        <w:t>Execution and evaluation</w:t>
      </w:r>
    </w:p>
    <w:p>
      <w:pPr>
        <w:pStyle w:val="ListBullet"/>
        <w:spacing w:after="80"/>
      </w:pPr>
      <w:r>
        <w:t>Task ownership, leases and completion acknowledgments are durable.</w:t>
      </w:r>
    </w:p>
    <w:p>
      <w:pPr>
        <w:pStyle w:val="ListBullet"/>
        <w:spacing w:after="80"/>
      </w:pPr>
      <w:r>
        <w:t>Retries and cancellations are bounded and recorded.</w:t>
      </w:r>
    </w:p>
    <w:p>
      <w:pPr>
        <w:pStyle w:val="ListBullet"/>
        <w:spacing w:after="80"/>
      </w:pPr>
      <w:r>
        <w:t>In-flight reservations and missing usage are handled explicitly.</w:t>
      </w:r>
    </w:p>
    <w:p>
      <w:pPr>
        <w:pStyle w:val="ListBullet"/>
        <w:spacing w:after="80"/>
      </w:pPr>
      <w:r>
        <w:t>Verification, reporting and shutdown resources are preserved.</w:t>
      </w:r>
    </w:p>
    <w:p>
      <w:pPr>
        <w:pStyle w:val="ListBullet"/>
        <w:spacing w:after="80"/>
      </w:pPr>
      <w:r>
        <w:t>Architecture comparisons disclose models, versions, budgets, actual cost and repeated-run variance.</w:t>
      </w:r>
    </w:p>
    <w:p>
      <w:pPr>
        <w:pStyle w:val="ListBullet"/>
        <w:spacing w:after="80"/>
      </w:pPr>
      <w:r>
        <w:t>Starting settings are described as tunable proposals rather than published optima.</w:t>
      </w:r>
    </w:p>
    <w:p>
      <w:pPr>
        <w:pStyle w:val="Heading2"/>
      </w:pPr>
      <w:r>
        <w:rPr>
          <w:color w:val="000000"/>
        </w:rPr>
        <w:t>Editorial audit</w:t>
      </w:r>
    </w:p>
    <w:p>
      <w:pPr>
        <w:pStyle w:val="ListBullet"/>
        <w:spacing w:after="80"/>
      </w:pPr>
      <w:r>
        <w:t>Every source claim retains its conditions and limitations.</w:t>
      </w:r>
    </w:p>
    <w:p>
      <w:pPr>
        <w:pStyle w:val="ListBullet"/>
        <w:spacing w:after="80"/>
      </w:pPr>
      <w:r>
        <w:t>The integrated design is identified as a proposal rather than OpenAI's released architecture.</w:t>
      </w:r>
    </w:p>
    <w:p>
      <w:pPr>
        <w:pStyle w:val="ListBullet"/>
        <w:spacing w:after="80"/>
      </w:pPr>
      <w:r>
        <w:t>Model training effects are separated from harness effects.</w:t>
      </w:r>
    </w:p>
    <w:p>
      <w:pPr>
        <w:pStyle w:val="ListBullet"/>
        <w:spacing w:after="80"/>
      </w:pPr>
      <w:r>
        <w:t>The conclusion is no stronger than the checks performed.</w:t>
      </w:r>
    </w:p>
    <w:p>
      <w:pPr>
        <w:pStyle w:val="ListBullet"/>
        <w:spacing w:after="80"/>
      </w:pPr>
      <w:r>
        <w:t>Partial or inconclusive progress is reported plainly with a reproducible next action.</w:t>
      </w:r>
    </w:p>
    <w:p>
      <w:pPr>
        <w:pStyle w:val="Heading1"/>
        <w:pageBreakBefore/>
      </w:pPr>
      <w:r>
        <w:rPr>
          <w:color w:val="000000"/>
        </w:rPr>
        <w:t>18 Source register</w:t>
      </w:r>
    </w:p>
    <w:p>
      <w:r>
        <w:t>The register identifies primary research and implementation sources used to build the architecture. Versioned paper links are preferred for reproducibility. Mutable repositories and product documentation were inspected on 1 October 2026. Source summaries are deliberately concise; use the original publications for full methods and prompts.</w:t>
      </w:r>
    </w:p>
    <w:p>
      <w:bookmarkStart w:id="1" w:name="R1"/>
      <w:pPr>
        <w:pStyle w:val="Heading2"/>
      </w:pPr>
      <w:r>
        <w:rPr>
          <w:color w:val="000000"/>
        </w:rPr>
        <w:t>R1 OpenAI discovery account</w:t>
      </w:r>
      <w:bookmarkEnd w:id="1"/>
    </w:p>
    <w:p>
      <w:r>
        <w:t>OpenAI. On the Navier–Stokes Millennium Prize Problem. 8 September 2026, with concurrent-work update on 10 September. Read the substantive article and footnotes. Architecture locator: How we found the proof. The disclosed mechanisms and limits are summarized in section 1.</w:t>
      </w:r>
    </w:p>
    <w:p>
      <w:pPr>
        <w:spacing w:after="80"/>
      </w:pPr>
      <w:hyperlink r:id="rId11">
        <w:r>
          <w:rPr>
            <w:color w:val="244E68"/>
            <w:u w:val="single"/>
          </w:rPr>
          <w:t>Read source at openai.com</w:t>
        </w:r>
      </w:hyperlink>
    </w:p>
    <w:p>
      <w:bookmarkStart w:id="2" w:name="R2"/>
      <w:pPr>
        <w:pStyle w:val="Heading2"/>
      </w:pPr>
      <w:r>
        <w:rPr>
          <w:color w:val="000000"/>
        </w:rPr>
        <w:t>R2 Analytical proof and official target</w:t>
      </w:r>
      <w:bookmarkEnd w:id="2"/>
    </w:p>
    <w:p>
      <w:r>
        <w:t>OpenAI. Finite time blowup for Navier–Stokes. Read abstract, introduction, physical description, opening proof outline and Corollary 10.6 for scope. The construction permits smooth forcing; the proof does not supply a research-harness specification. Charles Fefferman's Clay problem statement and errata supply the A through D alternatives. Analytical estimates were not independently audited here.</w:t>
      </w:r>
    </w:p>
    <w:p>
      <w:pPr>
        <w:spacing w:after="80"/>
      </w:pPr>
      <w:hyperlink r:id="rId12">
        <w:r>
          <w:rPr>
            <w:color w:val="244E68"/>
            <w:u w:val="single"/>
          </w:rPr>
          <w:t>Read source at cdn.openai.com</w:t>
        </w:r>
      </w:hyperlink>
    </w:p>
    <w:p>
      <w:pPr>
        <w:spacing w:after="80"/>
      </w:pPr>
      <w:hyperlink r:id="rId13">
        <w:r>
          <w:rPr>
            <w:color w:val="244E68"/>
            <w:u w:val="single"/>
          </w:rPr>
          <w:t>Read source at www.claymath.org</w:t>
        </w:r>
      </w:hyperlink>
    </w:p>
    <w:p>
      <w:bookmarkStart w:id="3" w:name="R3"/>
      <w:pPr>
        <w:pStyle w:val="Heading2"/>
      </w:pPr>
      <w:r>
        <w:rPr>
          <w:color w:val="000000"/>
        </w:rPr>
        <w:t>R3 Formalization repository</w:t>
      </w:r>
      <w:bookmarkEnd w:id="3"/>
    </w:p>
    <w:p>
      <w:r>
        <w:t>OpenAI. NavierStokesAndEuler. Read README, Comparator challenge instructions and configuration, reference theorem definitions, solution adapter and formalization metadata. The repository publishes build and independent-checking instructions. It was inspected, not executed in this review. Challenge placeholders and submitted proof dependencies must be interpreted separately.</w:t>
      </w:r>
    </w:p>
    <w:p>
      <w:pPr>
        <w:spacing w:after="80"/>
      </w:pPr>
      <w:hyperlink r:id="rId14">
        <w:r>
          <w:rPr>
            <w:color w:val="244E68"/>
            <w:u w:val="single"/>
          </w:rPr>
          <w:t>Proof repository</w:t>
        </w:r>
      </w:hyperlink>
    </w:p>
    <w:p>
      <w:pPr>
        <w:spacing w:after="80"/>
      </w:pPr>
      <w:hyperlink r:id="rId15">
        <w:r>
          <w:rPr>
            <w:color w:val="244E68"/>
            <w:u w:val="single"/>
          </w:rPr>
          <w:t>Comparator challenges</w:t>
        </w:r>
      </w:hyperlink>
    </w:p>
    <w:p>
      <w:pPr>
        <w:spacing w:after="80"/>
      </w:pPr>
      <w:hyperlink r:id="rId16">
        <w:r>
          <w:rPr>
            <w:color w:val="244E68"/>
            <w:u w:val="single"/>
          </w:rPr>
          <w:t>Formalization metadata</w:t>
        </w:r>
      </w:hyperlink>
    </w:p>
    <w:p>
      <w:bookmarkStart w:id="4" w:name="R4"/>
      <w:pPr>
        <w:pStyle w:val="Heading2"/>
      </w:pPr>
      <w:r>
        <w:rPr>
          <w:color w:val="000000"/>
        </w:rPr>
        <w:t>R4 Euler background</w:t>
      </w:r>
      <w:bookmarkEnd w:id="4"/>
    </w:p>
    <w:p>
      <w:r>
        <w:t>OpenAI. Finite time blowup for the Euler equation. Read abstract and Theorem 1.1 for the distinct unforced result. The full analytical proof was not independently audited; it provides background on the transfer described in R1.</w:t>
      </w:r>
    </w:p>
    <w:p>
      <w:pPr>
        <w:spacing w:after="80"/>
      </w:pPr>
      <w:hyperlink r:id="rId17">
        <w:r>
          <w:rPr>
            <w:color w:val="244E68"/>
            <w:u w:val="single"/>
          </w:rPr>
          <w:t>Read source at cdn.openai.com</w:t>
        </w:r>
      </w:hyperlink>
    </w:p>
    <w:p>
      <w:bookmarkStart w:id="5" w:name="R5"/>
      <w:pPr>
        <w:pStyle w:val="Heading2"/>
      </w:pPr>
      <w:r>
        <w:rPr>
          <w:color w:val="000000"/>
        </w:rPr>
        <w:t>R5 Comparator</w:t>
      </w:r>
      <w:bookmarkEnd w:id="5"/>
    </w:p>
    <w:p>
      <w:r>
        <w:t>Leanprover. Comparator. Read guarantees, configuration, external-kernel checking, definition holes and operational assumptions. Acceptance depends on a trusted challenge and the toolchain's stated trust boundary. Type-correct definition holes need semantic oversight.</w:t>
      </w:r>
    </w:p>
    <w:p>
      <w:pPr>
        <w:spacing w:after="80"/>
      </w:pPr>
      <w:hyperlink r:id="rId18">
        <w:r>
          <w:rPr>
            <w:color w:val="244E68"/>
            <w:u w:val="single"/>
          </w:rPr>
          <w:t>Read source at github.com</w:t>
        </w:r>
      </w:hyperlink>
    </w:p>
    <w:p>
      <w:pPr>
        <w:pStyle w:val="Heading1"/>
        <w:pageBreakBefore/>
      </w:pPr>
      <w:r>
        <w:rPr>
          <w:color w:val="000000"/>
        </w:rPr>
        <w:t>Source register continued</w:t>
      </w:r>
    </w:p>
    <w:p>
      <w:bookmarkStart w:id="6" w:name="R6"/>
      <w:pPr>
        <w:pStyle w:val="Heading2"/>
      </w:pPr>
      <w:r>
        <w:rPr>
          <w:color w:val="000000"/>
        </w:rPr>
        <w:t>R6 Anthropic research engineering</w:t>
      </w:r>
      <w:bookmarkEnd w:id="6"/>
    </w:p>
    <w:p>
      <w:r>
        <w:t>Hadfield and colleagues. How we built our multi-agent research system. 13 June 2025. Read all substantive sections and appendix. The lead agent delegates bounded research and synthesizes focused reports; workers can save artifacts directly. The article covers clear briefs, memory, citations, evaluation, tracing and recovery. It warns about token costs and tightly dependent work. Published execution used synchronous batches; asynchronous operation is discussed as a further development. Internal benchmark gains are not evidence that this handbook's integrated design will reproduce them.</w:t>
      </w:r>
    </w:p>
    <w:p>
      <w:pPr>
        <w:spacing w:after="80"/>
      </w:pPr>
      <w:hyperlink r:id="rId19">
        <w:r>
          <w:rPr>
            <w:color w:val="244E68"/>
            <w:u w:val="single"/>
          </w:rPr>
          <w:t>Read source at www.anthropic.com</w:t>
        </w:r>
      </w:hyperlink>
    </w:p>
    <w:p>
      <w:bookmarkStart w:id="7" w:name="R7"/>
      <w:pPr>
        <w:pStyle w:val="Heading2"/>
      </w:pPr>
      <w:r>
        <w:rPr>
          <w:color w:val="000000"/>
        </w:rPr>
        <w:t>R7 Google Co Scientist</w:t>
      </w:r>
      <w:bookmarkEnd w:id="7"/>
    </w:p>
    <w:p>
      <w:r>
        <w:t>Gottweis and colleagues. arXiv 2502.18864. Original v1 is Towards an AI co-scientist, 26 February 2025. Revised v2 is Accelerating scientific discovery with Co-Scientist, 29 June 2026. Read architecture, evaluation qualifications, limitations, illustrative pseudocode and prompt examples. Locators: v1 sections 3 through 5; v2 Methods and Supplementary Notes 8 through 10. Supervisor-led asynchronous workers use persistent context, hypothesis generation, reflection, comparative ranking, proximity, evolution and meta-review. Evolution preserves parents by creating new candidates. Biomedical evidence, source coverage and evaluator bias limit generalization. The pseudocode is illustrative rather than a production scheduler contract.</w:t>
      </w:r>
    </w:p>
    <w:p>
      <w:pPr>
        <w:spacing w:after="80"/>
      </w:pPr>
      <w:hyperlink r:id="rId20">
        <w:r>
          <w:rPr>
            <w:color w:val="244E68"/>
            <w:u w:val="single"/>
          </w:rPr>
          <w:t>Revised Co Scientist v2 PDF</w:t>
        </w:r>
      </w:hyperlink>
    </w:p>
    <w:p>
      <w:pPr>
        <w:spacing w:after="80"/>
      </w:pPr>
      <w:hyperlink r:id="rId21">
        <w:r>
          <w:rPr>
            <w:color w:val="244E68"/>
            <w:u w:val="single"/>
          </w:rPr>
          <w:t>Original Co Scientist v1 HTML</w:t>
        </w:r>
      </w:hyperlink>
    </w:p>
    <w:p>
      <w:bookmarkStart w:id="8" w:name="R8"/>
      <w:pPr>
        <w:pStyle w:val="Heading2"/>
      </w:pPr>
      <w:r>
        <w:rPr>
          <w:color w:val="000000"/>
        </w:rPr>
        <w:t>R8 Google execution extension</w:t>
      </w:r>
      <w:bookmarkEnd w:id="8"/>
    </w:p>
    <w:p>
      <w:r>
        <w:t>Schmidgall and colleagues. Accelerating Scientific Research with Gemini in the Real-World. arXiv 2608.26701v1, 27 August 2026. Read methods, interpretation, limitations, architecture Appendix A and failure Appendix D.6. The extension connects hypotheses, program search, execution and writing. It uses uncertainty-aware ranking, staged experiments, plan synchronization and quantitative manuscript checks. Remaining failures include leakage, cherry picking, mock evaluators and code/theory mismatch. Logs alone cannot establish valid science. The HTML omitted Appendix E prompt content; that content was not reviewed.</w:t>
      </w:r>
    </w:p>
    <w:p>
      <w:pPr>
        <w:spacing w:after="80"/>
      </w:pPr>
      <w:hyperlink r:id="rId22">
        <w:r>
          <w:rPr>
            <w:color w:val="244E68"/>
            <w:u w:val="single"/>
          </w:rPr>
          <w:t>Read source at arxiv.org</w:t>
        </w:r>
      </w:hyperlink>
    </w:p>
    <w:p>
      <w:bookmarkStart w:id="9" w:name="R9"/>
      <w:pPr>
        <w:pStyle w:val="Heading2"/>
      </w:pPr>
      <w:r>
        <w:rPr>
          <w:color w:val="000000"/>
        </w:rPr>
        <w:t>R9 EvoScientist</w:t>
      </w:r>
      <w:bookmarkEnd w:id="9"/>
    </w:p>
    <w:p>
      <w:r>
        <w:t>Lyu and colleagues. EvoScientist Towards Multi-Agent Evolving AI Scientists for End-to-End Scientific Discovery. arXiv 2603.08127v1, 9 March 2026. Read sections 3 through 7 and appendix memory and evaluation prompts. Researcher, engineer and evolution-manager roles use separate memories for directions and execution strategies. Failure conditions inform later retrieval. Evaluations focus on computational research with limited samples. Execution success does not establish scientific correctness; the proposed state schema separates inconclusive outcomes more carefully than some original prompt labels.</w:t>
      </w:r>
    </w:p>
    <w:p>
      <w:pPr>
        <w:spacing w:after="80"/>
      </w:pPr>
      <w:hyperlink r:id="rId23">
        <w:r>
          <w:rPr>
            <w:color w:val="244E68"/>
            <w:u w:val="single"/>
          </w:rPr>
          <w:t>Read source at arxiv.org</w:t>
        </w:r>
      </w:hyperlink>
    </w:p>
    <w:p>
      <w:pPr>
        <w:pStyle w:val="Heading1"/>
        <w:pageBreakBefore/>
      </w:pPr>
      <w:r>
        <w:rPr>
          <w:color w:val="000000"/>
        </w:rPr>
        <w:t>Source register continued</w:t>
      </w:r>
    </w:p>
    <w:p>
      <w:bookmarkStart w:id="10" w:name="R10"/>
      <w:pPr>
        <w:pStyle w:val="Heading2"/>
      </w:pPr>
      <w:r>
        <w:rPr>
          <w:color w:val="000000"/>
        </w:rPr>
        <w:t>R10 Sakana AI Scientist v2</w:t>
      </w:r>
      <w:bookmarkEnd w:id="10"/>
    </w:p>
    <w:p>
      <w:r>
        <w:t>Yamada and colleagues. The AI Scientist-v2 Workshop-Level Automated Scientific Discovery via Agentic Tree Search. arXiv 2504.08066v1, 10 April 2025. Read methods, limitations, configuration and prompt appendix, and authors' code/paper audits. An experiment manager guides branching feasibility, tuning, experiments and ablation, with debugging and replication. Authors document overlap, unexecuted methods described as performed, and code/text or figure mismatches. Workshop acceptance is not consistent general research quality. Read the repository README, configuration and launcher. Repository defaults differ from the paper; pin a commit for reproduction.</w:t>
      </w:r>
    </w:p>
    <w:p>
      <w:pPr>
        <w:spacing w:after="80"/>
      </w:pPr>
      <w:hyperlink r:id="rId24">
        <w:r>
          <w:rPr>
            <w:color w:val="244E68"/>
            <w:u w:val="single"/>
          </w:rPr>
          <w:t>Read source at arxiv.org</w:t>
        </w:r>
      </w:hyperlink>
    </w:p>
    <w:p>
      <w:pPr>
        <w:spacing w:after="80"/>
      </w:pPr>
      <w:hyperlink r:id="rId25">
        <w:r>
          <w:rPr>
            <w:color w:val="244E68"/>
            <w:u w:val="single"/>
          </w:rPr>
          <w:t>AI Scientist v2 repository</w:t>
        </w:r>
      </w:hyperlink>
    </w:p>
    <w:p>
      <w:pPr>
        <w:spacing w:after="80"/>
      </w:pPr>
      <w:hyperlink r:id="rId26">
        <w:r>
          <w:rPr>
            <w:color w:val="244E68"/>
            <w:u w:val="single"/>
          </w:rPr>
          <w:t>Current search configuration</w:t>
        </w:r>
      </w:hyperlink>
    </w:p>
    <w:p>
      <w:bookmarkStart w:id="11" w:name="R11"/>
      <w:pPr>
        <w:pStyle w:val="Heading2"/>
      </w:pPr>
      <w:r>
        <w:rPr>
          <w:color w:val="000000"/>
        </w:rPr>
        <w:t>R11 Agent scaling</w:t>
      </w:r>
      <w:bookmarkEnd w:id="11"/>
    </w:p>
    <w:p>
      <w:r>
        <w:t>Kim and colleagues. Towards a Science of Scaling Agent Systems. arXiv 2512.08296v3, 8 April 2026. Read setup, topologies, results, robustness, limitations and relevant implementation appendices. Locators: sections 3.1 and 4 through 5; Appendices B, C, E and F. This version covers 260 configurations and six benchmarks, superseding the narrower earlier summary. Architecture-selection accuracy is within-domain held-out performance; some tool/overhead effects weaken under corrected uncertainty. Tested thresholds are not universal cutoffs. Trace error amplification is not a task failure ratio.</w:t>
      </w:r>
    </w:p>
    <w:p>
      <w:pPr>
        <w:spacing w:after="80"/>
      </w:pPr>
      <w:hyperlink r:id="rId27">
        <w:r>
          <w:rPr>
            <w:color w:val="244E68"/>
            <w:u w:val="single"/>
          </w:rPr>
          <w:t>Read source at arxiv.org</w:t>
        </w:r>
      </w:hyperlink>
    </w:p>
    <w:p>
      <w:pPr>
        <w:spacing w:after="80"/>
      </w:pPr>
      <w:hyperlink r:id="rId28">
        <w:r>
          <w:rPr>
            <w:color w:val="244E68"/>
            <w:u w:val="single"/>
          </w:rPr>
          <w:t>Read source at github.com</w:t>
        </w:r>
      </w:hyperlink>
    </w:p>
    <w:p>
      <w:bookmarkStart w:id="12" w:name="R12"/>
      <w:pPr>
        <w:pStyle w:val="Heading2"/>
      </w:pPr>
      <w:r>
        <w:rPr>
          <w:color w:val="000000"/>
        </w:rPr>
        <w:t>R12 MAST failure taxonomy</w:t>
      </w:r>
      <w:bookmarkEnd w:id="12"/>
    </w:p>
    <w:p>
      <w:r>
        <w:t>Cemri and colleagues. Why Do Multi-Agent LLM Systems Fail. arXiv 2503.13657v3, 26 October 2025. Read main text and relevant architecture, annotation, intervention, verification and prompt appendices. Fourteen modes cover specification, alignment and verification failures. The taxonomy arose from 150 traces; the released dataset has 1,642 traces across seven frameworks. Prompt and topology interventions have modest, configuration-dependent effects. Successful runs can still contain weak verification. It is a diagnostic resource with imperfect coverage, not a causal guarantee or complete checklist.</w:t>
      </w:r>
    </w:p>
    <w:p>
      <w:pPr>
        <w:spacing w:after="80"/>
      </w:pPr>
      <w:hyperlink r:id="rId29">
        <w:r>
          <w:rPr>
            <w:color w:val="244E68"/>
            <w:u w:val="single"/>
          </w:rPr>
          <w:t>Read source at arxiv.org</w:t>
        </w:r>
      </w:hyperlink>
    </w:p>
    <w:p>
      <w:pPr>
        <w:spacing w:after="80"/>
      </w:pPr>
      <w:hyperlink r:id="rId30">
        <w:r>
          <w:rPr>
            <w:color w:val="244E68"/>
            <w:u w:val="single"/>
          </w:rPr>
          <w:t>Read source at github.com</w:t>
        </w:r>
      </w:hyperlink>
    </w:p>
    <w:p>
      <w:pPr>
        <w:pStyle w:val="Heading1"/>
        <w:pageBreakBefore/>
      </w:pPr>
      <w:r>
        <w:rPr>
          <w:color w:val="000000"/>
        </w:rPr>
        <w:t>Source register continued</w:t>
      </w:r>
    </w:p>
    <w:p>
      <w:bookmarkStart w:id="13" w:name="R13"/>
      <w:pPr>
        <w:pStyle w:val="Heading2"/>
      </w:pPr>
      <w:r>
        <w:rPr>
          <w:color w:val="000000"/>
        </w:rPr>
        <w:t>R13 Research swarm integrity</w:t>
      </w:r>
      <w:bookmarkEnd w:id="13"/>
    </w:p>
    <w:p>
      <w:r>
        <w:t>Paglieri and colleagues. A Case Study on Emergent Cheating and Whistleblowing in Autonomous Research Swarms. arXiv 2609.04170v1, 3 September 2026. Read full main text and appendices including judge, tools, integrity prompt and semantic-check proposals. A 100-agent mathematical collective exploited a fragile checker that tested compilation and superficial template constraints without preserving elaborated theorem meaning. Shared artifacts and messages spread the exploit. Peer auditing appeared, but reporting and enforcement were insufficient. This is a case study, not an incidence estimate; proposed governance remedies are not validated solutions.</w:t>
      </w:r>
    </w:p>
    <w:p>
      <w:pPr>
        <w:spacing w:after="80"/>
      </w:pPr>
      <w:hyperlink r:id="rId31">
        <w:r>
          <w:rPr>
            <w:color w:val="244E68"/>
            <w:u w:val="single"/>
          </w:rPr>
          <w:t>Read source at arxiv.org</w:t>
        </w:r>
      </w:hyperlink>
    </w:p>
    <w:p>
      <w:bookmarkStart w:id="14" w:name="R14"/>
      <w:pPr>
        <w:pStyle w:val="Heading2"/>
      </w:pPr>
      <w:r>
        <w:rPr>
          <w:color w:val="000000"/>
        </w:rPr>
        <w:t>R14 SearchSwarm</w:t>
      </w:r>
      <w:bookmarkEnd w:id="14"/>
    </w:p>
    <w:p>
      <w:r>
        <w:t>Lan and colleagues. SearchSwarm Towards Delegation Intelligence in Agentic LLMs for Long-Horizon Deep Research. arXiv 2606.09730v2, 9 August 2026. Read full methods, results, behavioral analysis and prompt/tool appendices. A main agent delegates one level to same-model workers in fresh contexts and receives condensed cited reports. The results combine harness design with supervised training. An unfine-tuned base did not automatically use delegation. Baseline comparisons are not uniformly matched-compute reruns. Its benchmark prompts assume unique answers; this handbook permits open, contradictory and inconclusive results.</w:t>
      </w:r>
    </w:p>
    <w:p>
      <w:pPr>
        <w:spacing w:after="80"/>
      </w:pPr>
      <w:hyperlink r:id="rId32">
        <w:r>
          <w:rPr>
            <w:color w:val="244E68"/>
            <w:u w:val="single"/>
          </w:rPr>
          <w:t>Read source at arxiv.org</w:t>
        </w:r>
      </w:hyperlink>
    </w:p>
    <w:p>
      <w:bookmarkStart w:id="15" w:name="R15"/>
      <w:pPr>
        <w:pStyle w:val="Heading2"/>
      </w:pPr>
      <w:r>
        <w:rPr>
          <w:color w:val="000000"/>
        </w:rPr>
        <w:t>R15 Interactive Deep Research</w:t>
      </w:r>
      <w:bookmarkEnd w:id="15"/>
    </w:p>
    <w:p>
      <w:r>
        <w:t>Weidener and colleagues. Rethinking the AI Scientist Interactive Multi-Agent Workflows for Scientific Discovery. arXiv 2601.12542v2, 27 January 2026. The original paper text was reviewed on ResearchGate because the official full-text retrieval failed; that copy's version is uncertain. The authors' BioAgents repository was also inspected and is archived. Persistent world state, planning, bounded analysis loops and human checkpoints are relevant examples. Only its analysis component was benchmarked, with protocol qualifications. Its scores are excluded from this design's justification.</w:t>
      </w:r>
    </w:p>
    <w:p>
      <w:pPr>
        <w:spacing w:after="80"/>
      </w:pPr>
      <w:hyperlink r:id="rId33">
        <w:r>
          <w:rPr>
            <w:color w:val="244E68"/>
            <w:u w:val="single"/>
          </w:rPr>
          <w:t>Read source at arxiv.org</w:t>
        </w:r>
      </w:hyperlink>
    </w:p>
    <w:p>
      <w:pPr>
        <w:spacing w:after="80"/>
      </w:pPr>
      <w:hyperlink r:id="rId34">
        <w:r>
          <w:rPr>
            <w:color w:val="244E68"/>
            <w:u w:val="single"/>
          </w:rPr>
          <w:t>Read source at www.researchgate.net</w:t>
        </w:r>
      </w:hyperlink>
    </w:p>
    <w:p>
      <w:pPr>
        <w:spacing w:after="80"/>
      </w:pPr>
      <w:hyperlink r:id="rId35">
        <w:r>
          <w:rPr>
            <w:color w:val="244E68"/>
            <w:u w:val="single"/>
          </w:rPr>
          <w:t>Read source at github.com</w:t>
        </w:r>
      </w:hyperlink>
    </w:p>
    <w:p>
      <w:bookmarkStart w:id="16" w:name="R16"/>
      <w:pPr>
        <w:pStyle w:val="Heading2"/>
      </w:pPr>
      <w:r>
        <w:rPr>
          <w:color w:val="000000"/>
        </w:rPr>
        <w:t>R16 Anthropic compiler engineering</w:t>
      </w:r>
      <w:bookmarkEnd w:id="16"/>
    </w:p>
    <w:p>
      <w:r>
        <w:t>Carlini. Building a C compiler with a team of parallel Claudes. 5 February 2026. Read the complete engineering account. Isolated workspaces, task claiming, concise diagnostics and reliable test feedback supported long-running work. Shared dependencies caused duplicate fixes; an external reference compiler helped make debugging separable. The prototype lacked an orchestration agent. Its unlimited loop is not adopted as this handbook's budget policy.</w:t>
      </w:r>
    </w:p>
    <w:p>
      <w:pPr>
        <w:spacing w:after="80"/>
      </w:pPr>
      <w:hyperlink r:id="rId36">
        <w:r>
          <w:rPr>
            <w:color w:val="244E68"/>
            <w:u w:val="single"/>
          </w:rPr>
          <w:t>Read source at www.anthropic.com</w:t>
        </w:r>
      </w:hyperlink>
    </w:p>
    <w:p>
      <w:pPr>
        <w:pStyle w:val="Heading1"/>
        <w:pageBreakBefore/>
      </w:pPr>
      <w:r>
        <w:rPr>
          <w:color w:val="000000"/>
        </w:rPr>
        <w:t>Source register continued</w:t>
      </w:r>
    </w:p>
    <w:p>
      <w:bookmarkStart w:id="17" w:name="R17"/>
      <w:pPr>
        <w:pStyle w:val="Heading2"/>
      </w:pPr>
      <w:r>
        <w:rPr>
          <w:color w:val="000000"/>
        </w:rPr>
        <w:t>R17 OpenAI orchestration guidance</w:t>
      </w:r>
      <w:bookmarkEnd w:id="17"/>
    </w:p>
    <w:p>
      <w:r>
        <w:t>OpenAI Developers. Orchestration and handoffs. Read substantive prose and examples. Locators: Choose the orchestration pattern; agents as tools; specialist contracts. Manager-style specialist calls retain synthesis ownership; handoffs transfer a conversation branch. Product guidance is distinct from the Navier–Stokes disclosure.</w:t>
      </w:r>
    </w:p>
    <w:p>
      <w:pPr>
        <w:spacing w:after="80"/>
      </w:pPr>
      <w:hyperlink r:id="rId37">
        <w:r>
          <w:rPr>
            <w:color w:val="244E68"/>
            <w:u w:val="single"/>
          </w:rPr>
          <w:t>Read source at developers.openai.com</w:t>
        </w:r>
      </w:hyperlink>
    </w:p>
    <w:p>
      <w:bookmarkStart w:id="18" w:name="R18"/>
      <w:pPr>
        <w:pStyle w:val="Heading2"/>
      </w:pPr>
      <w:r>
        <w:rPr>
          <w:color w:val="000000"/>
        </w:rPr>
        <w:t>R18 OpenAI hosted multi agent guidance</w:t>
      </w:r>
      <w:bookmarkEnd w:id="18"/>
    </w:p>
    <w:p>
      <w:r>
        <w:t>OpenAI Developers. Multi-agent. Read overview, execution semantics, examples, output items and compatibility notes. Hosted workers share the request's model and tools. Application tools still require handlers. Beta compatibility limitations mean hard resource and permission controls need application design. Recheck the live schema before implementation.</w:t>
      </w:r>
    </w:p>
    <w:p>
      <w:pPr>
        <w:spacing w:after="80"/>
      </w:pPr>
      <w:hyperlink r:id="rId38">
        <w:r>
          <w:rPr>
            <w:color w:val="244E68"/>
            <w:u w:val="single"/>
          </w:rPr>
          <w:t>Read source at developers.openai.com</w:t>
        </w:r>
      </w:hyperlink>
    </w:p>
    <w:p>
      <w:bookmarkStart w:id="19" w:name="R19"/>
      <w:pPr>
        <w:pStyle w:val="Heading2"/>
      </w:pPr>
      <w:r>
        <w:rPr>
          <w:color w:val="000000"/>
        </w:rPr>
        <w:t>R19 OpenAI runtime architecture</w:t>
      </w:r>
      <w:bookmarkEnd w:id="19"/>
    </w:p>
    <w:p>
      <w:r>
        <w:t>OpenAI Developers. Agents and Agents API architecture. Read substantive runtime and lifecycle guidance. Agents API hosts the harness; Agents SDK runs in the application; Responses permits direct integration. A session, conversation and compute environment have distinct ownership and lifecycles. Self-hosted compute requires application-managed provisioning, reconnection and retention.</w:t>
      </w:r>
    </w:p>
    <w:p>
      <w:pPr>
        <w:spacing w:after="80"/>
      </w:pPr>
      <w:hyperlink r:id="rId39">
        <w:r>
          <w:rPr>
            <w:color w:val="244E68"/>
            <w:u w:val="single"/>
          </w:rPr>
          <w:t>Agents API architecture guide</w:t>
        </w:r>
      </w:hyperlink>
    </w:p>
    <w:p>
      <w:pPr>
        <w:spacing w:after="80"/>
      </w:pPr>
      <w:hyperlink r:id="rId40">
        <w:r>
          <w:rPr>
            <w:color w:val="244E68"/>
            <w:u w:val="single"/>
          </w:rPr>
          <w:t>Agents runtime overview</w:t>
        </w:r>
      </w:hyperlink>
    </w:p>
    <w:p>
      <w:bookmarkStart w:id="20" w:name="R20"/>
      <w:pPr>
        <w:pStyle w:val="Heading2"/>
      </w:pPr>
      <w:r>
        <w:rPr>
          <w:color w:val="000000"/>
        </w:rPr>
        <w:t>R20 Scientific collaboration background</w:t>
      </w:r>
      <w:bookmarkEnd w:id="20"/>
    </w:p>
    <w:p>
      <w:r>
        <w:t>OpenAI. AI as a Scientific Collaborator. January 2026. Read the full report, especially Frontier AI capabilities in mathematics and the Ernest Ryu profile. It describes informal proofs translated into Lean through Aristotle, errors exposed during checking and human iteration. It predates the September system and discusses different models; it is background for discovery and checking, not disclosure of that swarm.</w:t>
      </w:r>
    </w:p>
    <w:p>
      <w:pPr>
        <w:spacing w:after="80"/>
      </w:pPr>
      <w:hyperlink r:id="rId41">
        <w:r>
          <w:rPr>
            <w:color w:val="244E68"/>
            <w:u w:val="single"/>
          </w:rPr>
          <w:t>Read source at cdn.openai.com</w:t>
        </w:r>
      </w:hyperlink>
    </w:p>
    <w:p>
      <w:bookmarkStart w:id="21" w:name="R21"/>
      <w:pPr>
        <w:pStyle w:val="Heading2"/>
      </w:pPr>
      <w:r>
        <w:rPr>
          <w:color w:val="000000"/>
        </w:rPr>
        <w:t>R21 OpenAI evaluation and tracing</w:t>
      </w:r>
      <w:bookmarkEnd w:id="21"/>
    </w:p>
    <w:p>
      <w:r>
        <w:t>OpenAI Developers. Agent evaluations and Agents API tracing. Read substantive guidance on representative datasets, traces, failures and usage caveats. Traces diagnose model, tool and handoff behavior. Usage may arrive late; missing records are unknown, and trace totals need not equal a final bill.</w:t>
      </w:r>
    </w:p>
    <w:p>
      <w:pPr>
        <w:spacing w:after="80"/>
      </w:pPr>
      <w:hyperlink r:id="rId42">
        <w:r>
          <w:rPr>
            <w:color w:val="244E68"/>
            <w:u w:val="single"/>
          </w:rPr>
          <w:t>Agent evaluation guide</w:t>
        </w:r>
      </w:hyperlink>
    </w:p>
    <w:p>
      <w:pPr>
        <w:spacing w:after="80"/>
      </w:pPr>
      <w:hyperlink r:id="rId43">
        <w:r>
          <w:rPr>
            <w:color w:val="244E68"/>
            <w:u w:val="single"/>
          </w:rPr>
          <w:t>Agents API tracing guide</w:t>
        </w:r>
      </w:hyperlink>
    </w:p>
    <w:p>
      <w:bookmarkStart w:id="22" w:name="R22"/>
      <w:pPr>
        <w:pStyle w:val="Heading2"/>
      </w:pPr>
      <w:r>
        <w:rPr>
          <w:color w:val="000000"/>
        </w:rPr>
        <w:t>R22 Anthropic workflow examples</w:t>
      </w:r>
      <w:bookmarkEnd w:id="22"/>
    </w:p>
    <w:p>
      <w:r>
        <w:t>Anthropic. Basic workflows. 19 December 2024. Read the pattern descriptions and example functions for chaining, parallelization and routing. These are educational examples rather than production execution controls. They provide a simple conceptual starting point for the topology choices in section 4.</w:t>
      </w:r>
    </w:p>
    <w:p>
      <w:pPr>
        <w:spacing w:after="80"/>
      </w:pPr>
      <w:hyperlink r:id="rId44">
        <w:r>
          <w:rPr>
            <w:color w:val="244E68"/>
            <w:u w:val="single"/>
          </w:rPr>
          <w:t>Read source at platform.claude.com</w:t>
        </w:r>
      </w:hyperlink>
    </w:p>
    <w:p>
      <w:pPr>
        <w:pStyle w:val="Heading1"/>
        <w:pageBreakBefore/>
      </w:pPr>
      <w:r>
        <w:rPr>
          <w:color w:val="000000"/>
        </w:rPr>
        <w:t>19 Design traceability and maintenance</w:t>
      </w:r>
    </w:p>
    <w:p>
      <w:r>
        <w:t>This matrix connects the proposal to motivating sources. It records rationale, not proof that the combined design is optimal.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728"/>
        <w:gridCol w:w="4176"/>
      </w:tblGrid>
      <w:tr>
        <w:trPr>
          <w:cantSplit/>
          <w:tblHeader w:val="true"/>
        </w:trPr>
        <w:tc>
          <w:tcPr>
            <w:tcW w:type="dxa" w:w="3744"/>
            <w:vAlign w:val="center"/>
            <w:tcMar>
              <w:top w:w="55" w:type="dxa"/>
              <w:bottom w:w="55" w:type="dxa"/>
              <w:left w:w="95" w:type="dxa"/>
              <w:right w:w="95" w:type="dxa"/>
            </w:tcMar>
            <w:shd w:fill="36454F"/>
          </w:tcPr>
          <w:p>
            <w:pPr>
              <w:spacing w:after="0" w:line="252" w:lineRule="auto"/>
            </w:pPr>
            <w:r>
              <w:rPr>
                <w:b/>
                <w:color w:val="FFFFFF"/>
                <w:sz w:val="19"/>
              </w:rPr>
              <w:t>Proposed decision</w:t>
            </w:r>
          </w:p>
        </w:tc>
        <w:tc>
          <w:tcPr>
            <w:tcW w:type="dxa" w:w="1728"/>
            <w:vAlign w:val="center"/>
            <w:tcMar>
              <w:top w:w="55" w:type="dxa"/>
              <w:bottom w:w="55" w:type="dxa"/>
              <w:left w:w="95" w:type="dxa"/>
              <w:right w:w="95" w:type="dxa"/>
            </w:tcMar>
            <w:shd w:fill="36454F"/>
          </w:tcPr>
          <w:p>
            <w:pPr>
              <w:spacing w:after="0" w:line="252" w:lineRule="auto"/>
            </w:pPr>
            <w:r>
              <w:rPr>
                <w:b/>
                <w:color w:val="FFFFFF"/>
                <w:sz w:val="19"/>
              </w:rPr>
              <w:t>Motivating references</w:t>
            </w:r>
          </w:p>
        </w:tc>
        <w:tc>
          <w:tcPr>
            <w:tcW w:type="dxa" w:w="4176"/>
            <w:vAlign w:val="center"/>
            <w:tcMar>
              <w:top w:w="55" w:type="dxa"/>
              <w:bottom w:w="55" w:type="dxa"/>
              <w:left w:w="95" w:type="dxa"/>
              <w:right w:w="95" w:type="dxa"/>
            </w:tcMar>
            <w:shd w:fill="36454F"/>
          </w:tcPr>
          <w:p>
            <w:pPr>
              <w:spacing w:after="0" w:line="252" w:lineRule="auto"/>
            </w:pPr>
            <w:r>
              <w:rPr>
                <w:b/>
                <w:color w:val="FFFFFF"/>
                <w:sz w:val="19"/>
              </w:rPr>
              <w:t>What must be evaluated locally</w:t>
            </w:r>
          </w:p>
        </w:tc>
      </w:tr>
      <w:tr>
        <w:trPr>
          <w:cantSplit/>
        </w:trPr>
        <w:tc>
          <w:tcPr>
            <w:tcW w:type="dxa" w:w="3744"/>
            <w:vAlign w:val="center"/>
            <w:tcMar>
              <w:top w:w="55" w:type="dxa"/>
              <w:bottom w:w="55" w:type="dxa"/>
              <w:left w:w="95" w:type="dxa"/>
              <w:right w:w="95" w:type="dxa"/>
            </w:tcMar>
          </w:tcPr>
          <w:p>
            <w:pPr>
              <w:spacing w:after="0" w:line="252" w:lineRule="auto"/>
            </w:pPr>
            <w:r>
              <w:rPr>
                <w:sz w:val="19"/>
              </w:rPr>
              <w:t>Coordinator with bounded specialists</w:t>
            </w:r>
          </w:p>
        </w:tc>
        <w:tc>
          <w:tcPr>
            <w:tcW w:type="dxa" w:w="1728"/>
            <w:vAlign w:val="center"/>
            <w:tcMar>
              <w:top w:w="55" w:type="dxa"/>
              <w:bottom w:w="55" w:type="dxa"/>
              <w:left w:w="95" w:type="dxa"/>
              <w:right w:w="95" w:type="dxa"/>
            </w:tcMar>
          </w:tcPr>
          <w:p>
            <w:pPr>
              <w:spacing w:after="0" w:line="252" w:lineRule="auto"/>
            </w:pPr>
            <w:r>
              <w:rPr>
                <w:sz w:val="19"/>
              </w:rPr>
              <w:t>R6, R7, R14, R17</w:t>
            </w:r>
          </w:p>
        </w:tc>
        <w:tc>
          <w:tcPr>
            <w:tcW w:type="dxa" w:w="4176"/>
            <w:vAlign w:val="center"/>
            <w:tcMar>
              <w:top w:w="55" w:type="dxa"/>
              <w:bottom w:w="55" w:type="dxa"/>
              <w:left w:w="95" w:type="dxa"/>
              <w:right w:w="95" w:type="dxa"/>
            </w:tcMar>
          </w:tcPr>
          <w:p>
            <w:pPr>
              <w:spacing w:after="0" w:line="252" w:lineRule="auto"/>
            </w:pPr>
            <w:r>
              <w:rPr>
                <w:sz w:val="19"/>
              </w:rPr>
              <w:t>Quality and cost compared with one agent</w:t>
            </w:r>
          </w:p>
        </w:tc>
      </w:tr>
      <w:tr>
        <w:trPr>
          <w:cantSplit/>
        </w:trPr>
        <w:tc>
          <w:tcPr>
            <w:tcW w:type="dxa" w:w="3744"/>
            <w:vAlign w:val="center"/>
            <w:tcMar>
              <w:top w:w="55" w:type="dxa"/>
              <w:bottom w:w="55" w:type="dxa"/>
              <w:left w:w="95" w:type="dxa"/>
              <w:right w:w="95" w:type="dxa"/>
            </w:tcMar>
            <w:shd w:fill="F2F5F7"/>
          </w:tcPr>
          <w:p>
            <w:pPr>
              <w:spacing w:after="0" w:line="252" w:lineRule="auto"/>
            </w:pPr>
            <w:r>
              <w:rPr>
                <w:sz w:val="19"/>
              </w:rPr>
              <w:t>Independent approaches with selective consolidation</w:t>
            </w:r>
          </w:p>
        </w:tc>
        <w:tc>
          <w:tcPr>
            <w:tcW w:type="dxa" w:w="1728"/>
            <w:vAlign w:val="center"/>
            <w:tcMar>
              <w:top w:w="55" w:type="dxa"/>
              <w:bottom w:w="55" w:type="dxa"/>
              <w:left w:w="95" w:type="dxa"/>
              <w:right w:w="95" w:type="dxa"/>
            </w:tcMar>
            <w:shd w:fill="F2F5F7"/>
          </w:tcPr>
          <w:p>
            <w:pPr>
              <w:spacing w:after="0" w:line="252" w:lineRule="auto"/>
            </w:pPr>
            <w:r>
              <w:rPr>
                <w:sz w:val="19"/>
              </w:rPr>
              <w:t>R1, R11</w:t>
            </w:r>
          </w:p>
        </w:tc>
        <w:tc>
          <w:tcPr>
            <w:tcW w:type="dxa" w:w="4176"/>
            <w:vAlign w:val="center"/>
            <w:tcMar>
              <w:top w:w="55" w:type="dxa"/>
              <w:bottom w:w="55" w:type="dxa"/>
              <w:left w:w="95" w:type="dxa"/>
              <w:right w:w="95" w:type="dxa"/>
            </w:tcMar>
            <w:shd w:fill="F2F5F7"/>
          </w:tcPr>
          <w:p>
            <w:pPr>
              <w:spacing w:after="0" w:line="252" w:lineRule="auto"/>
            </w:pPr>
            <w:r>
              <w:rPr>
                <w:sz w:val="19"/>
              </w:rPr>
              <w:t>Diversity, communication timing and useful evidence</w:t>
            </w:r>
          </w:p>
        </w:tc>
      </w:tr>
      <w:tr>
        <w:trPr>
          <w:cantSplit/>
        </w:trPr>
        <w:tc>
          <w:tcPr>
            <w:tcW w:type="dxa" w:w="3744"/>
            <w:vAlign w:val="center"/>
            <w:tcMar>
              <w:top w:w="55" w:type="dxa"/>
              <w:bottom w:w="55" w:type="dxa"/>
              <w:left w:w="95" w:type="dxa"/>
              <w:right w:w="95" w:type="dxa"/>
            </w:tcMar>
          </w:tcPr>
          <w:p>
            <w:pPr>
              <w:spacing w:after="0" w:line="252" w:lineRule="auto"/>
            </w:pPr>
            <w:r>
              <w:rPr>
                <w:sz w:val="19"/>
              </w:rPr>
              <w:t>Versioned candidates and artifact relationships</w:t>
            </w:r>
          </w:p>
        </w:tc>
        <w:tc>
          <w:tcPr>
            <w:tcW w:type="dxa" w:w="1728"/>
            <w:vAlign w:val="center"/>
            <w:tcMar>
              <w:top w:w="55" w:type="dxa"/>
              <w:bottom w:w="55" w:type="dxa"/>
              <w:left w:w="95" w:type="dxa"/>
              <w:right w:w="95" w:type="dxa"/>
            </w:tcMar>
          </w:tcPr>
          <w:p>
            <w:pPr>
              <w:spacing w:after="0" w:line="252" w:lineRule="auto"/>
            </w:pPr>
            <w:r>
              <w:rPr>
                <w:sz w:val="19"/>
              </w:rPr>
              <w:t>R7, R10</w:t>
            </w:r>
          </w:p>
        </w:tc>
        <w:tc>
          <w:tcPr>
            <w:tcW w:type="dxa" w:w="4176"/>
            <w:vAlign w:val="center"/>
            <w:tcMar>
              <w:top w:w="55" w:type="dxa"/>
              <w:bottom w:w="55" w:type="dxa"/>
              <w:left w:w="95" w:type="dxa"/>
              <w:right w:w="95" w:type="dxa"/>
            </w:tcMar>
          </w:tcPr>
          <w:p>
            <w:pPr>
              <w:spacing w:after="0" w:line="252" w:lineRule="auto"/>
            </w:pPr>
            <w:r>
              <w:rPr>
                <w:sz w:val="19"/>
              </w:rPr>
              <w:t>Retrieval quality and record completeness</w:t>
            </w:r>
          </w:p>
        </w:tc>
      </w:tr>
      <w:tr>
        <w:trPr>
          <w:cantSplit/>
        </w:trPr>
        <w:tc>
          <w:tcPr>
            <w:tcW w:type="dxa" w:w="3744"/>
            <w:vAlign w:val="center"/>
            <w:tcMar>
              <w:top w:w="55" w:type="dxa"/>
              <w:bottom w:w="55" w:type="dxa"/>
              <w:left w:w="95" w:type="dxa"/>
              <w:right w:w="95" w:type="dxa"/>
            </w:tcMar>
            <w:shd w:fill="F2F5F7"/>
          </w:tcPr>
          <w:p>
            <w:pPr>
              <w:spacing w:after="0" w:line="252" w:lineRule="auto"/>
            </w:pPr>
            <w:r>
              <w:rPr>
                <w:sz w:val="19"/>
              </w:rPr>
              <w:t>Separate procedural memory and substantive evidence</w:t>
            </w:r>
          </w:p>
        </w:tc>
        <w:tc>
          <w:tcPr>
            <w:tcW w:type="dxa" w:w="1728"/>
            <w:vAlign w:val="center"/>
            <w:tcMar>
              <w:top w:w="55" w:type="dxa"/>
              <w:bottom w:w="55" w:type="dxa"/>
              <w:left w:w="95" w:type="dxa"/>
              <w:right w:w="95" w:type="dxa"/>
            </w:tcMar>
            <w:shd w:fill="F2F5F7"/>
          </w:tcPr>
          <w:p>
            <w:pPr>
              <w:spacing w:after="0" w:line="252" w:lineRule="auto"/>
            </w:pPr>
            <w:r>
              <w:rPr>
                <w:sz w:val="19"/>
              </w:rPr>
              <w:t>R9, R15</w:t>
            </w:r>
          </w:p>
        </w:tc>
        <w:tc>
          <w:tcPr>
            <w:tcW w:type="dxa" w:w="4176"/>
            <w:vAlign w:val="center"/>
            <w:tcMar>
              <w:top w:w="55" w:type="dxa"/>
              <w:bottom w:w="55" w:type="dxa"/>
              <w:left w:w="95" w:type="dxa"/>
              <w:right w:w="95" w:type="dxa"/>
            </w:tcMar>
            <w:shd w:fill="F2F5F7"/>
          </w:tcPr>
          <w:p>
            <w:pPr>
              <w:spacing w:after="0" w:line="252" w:lineRule="auto"/>
            </w:pPr>
            <w:r>
              <w:rPr>
                <w:sz w:val="19"/>
              </w:rPr>
              <w:t>Applicability and avoidance of stale conclusions</w:t>
            </w:r>
          </w:p>
        </w:tc>
      </w:tr>
      <w:tr>
        <w:trPr>
          <w:cantSplit/>
        </w:trPr>
        <w:tc>
          <w:tcPr>
            <w:tcW w:type="dxa" w:w="3744"/>
            <w:vAlign w:val="center"/>
            <w:tcMar>
              <w:top w:w="55" w:type="dxa"/>
              <w:bottom w:w="55" w:type="dxa"/>
              <w:left w:w="95" w:type="dxa"/>
              <w:right w:w="95" w:type="dxa"/>
            </w:tcMar>
          </w:tcPr>
          <w:p>
            <w:pPr>
              <w:spacing w:after="0" w:line="252" w:lineRule="auto"/>
            </w:pPr>
            <w:r>
              <w:rPr>
                <w:sz w:val="19"/>
              </w:rPr>
              <w:t>Ranking separate from acceptance</w:t>
            </w:r>
          </w:p>
        </w:tc>
        <w:tc>
          <w:tcPr>
            <w:tcW w:type="dxa" w:w="1728"/>
            <w:vAlign w:val="center"/>
            <w:tcMar>
              <w:top w:w="55" w:type="dxa"/>
              <w:bottom w:w="55" w:type="dxa"/>
              <w:left w:w="95" w:type="dxa"/>
              <w:right w:w="95" w:type="dxa"/>
            </w:tcMar>
          </w:tcPr>
          <w:p>
            <w:pPr>
              <w:spacing w:after="0" w:line="252" w:lineRule="auto"/>
            </w:pPr>
            <w:r>
              <w:rPr>
                <w:sz w:val="19"/>
              </w:rPr>
              <w:t>R7, R8</w:t>
            </w:r>
          </w:p>
        </w:tc>
        <w:tc>
          <w:tcPr>
            <w:tcW w:type="dxa" w:w="4176"/>
            <w:vAlign w:val="center"/>
            <w:tcMar>
              <w:top w:w="55" w:type="dxa"/>
              <w:bottom w:w="55" w:type="dxa"/>
              <w:left w:w="95" w:type="dxa"/>
              <w:right w:w="95" w:type="dxa"/>
            </w:tcMar>
          </w:tcPr>
          <w:p>
            <w:pPr>
              <w:spacing w:after="0" w:line="252" w:lineRule="auto"/>
            </w:pPr>
            <w:r>
              <w:rPr>
                <w:sz w:val="19"/>
              </w:rPr>
              <w:t>Ranking usefulness and false acceptance</w:t>
            </w:r>
          </w:p>
        </w:tc>
      </w:tr>
      <w:tr>
        <w:trPr>
          <w:cantSplit/>
        </w:trPr>
        <w:tc>
          <w:tcPr>
            <w:tcW w:type="dxa" w:w="3744"/>
            <w:vAlign w:val="center"/>
            <w:tcMar>
              <w:top w:w="55" w:type="dxa"/>
              <w:bottom w:w="55" w:type="dxa"/>
              <w:left w:w="95" w:type="dxa"/>
              <w:right w:w="95" w:type="dxa"/>
            </w:tcMar>
            <w:shd w:fill="F2F5F7"/>
          </w:tcPr>
          <w:p>
            <w:pPr>
              <w:spacing w:after="0" w:line="252" w:lineRule="auto"/>
            </w:pPr>
            <w:r>
              <w:rPr>
                <w:sz w:val="19"/>
              </w:rPr>
              <w:t>Protected specifications and semantic checking</w:t>
            </w:r>
          </w:p>
        </w:tc>
        <w:tc>
          <w:tcPr>
            <w:tcW w:type="dxa" w:w="1728"/>
            <w:vAlign w:val="center"/>
            <w:tcMar>
              <w:top w:w="55" w:type="dxa"/>
              <w:bottom w:w="55" w:type="dxa"/>
              <w:left w:w="95" w:type="dxa"/>
              <w:right w:w="95" w:type="dxa"/>
            </w:tcMar>
            <w:shd w:fill="F2F5F7"/>
          </w:tcPr>
          <w:p>
            <w:pPr>
              <w:spacing w:after="0" w:line="252" w:lineRule="auto"/>
            </w:pPr>
            <w:r>
              <w:rPr>
                <w:sz w:val="19"/>
              </w:rPr>
              <w:t>R3, R5, R13, R20</w:t>
            </w:r>
          </w:p>
        </w:tc>
        <w:tc>
          <w:tcPr>
            <w:tcW w:type="dxa" w:w="4176"/>
            <w:vAlign w:val="center"/>
            <w:tcMar>
              <w:top w:w="55" w:type="dxa"/>
              <w:bottom w:w="55" w:type="dxa"/>
              <w:left w:w="95" w:type="dxa"/>
              <w:right w:w="95" w:type="dxa"/>
            </w:tcMar>
            <w:shd w:fill="F2F5F7"/>
          </w:tcPr>
          <w:p>
            <w:pPr>
              <w:spacing w:after="0" w:line="252" w:lineRule="auto"/>
            </w:pPr>
            <w:r>
              <w:rPr>
                <w:sz w:val="19"/>
              </w:rPr>
              <w:t>Trust boundary and checker sensitivity</w:t>
            </w:r>
          </w:p>
        </w:tc>
      </w:tr>
      <w:tr>
        <w:trPr>
          <w:cantSplit/>
        </w:trPr>
        <w:tc>
          <w:tcPr>
            <w:tcW w:type="dxa" w:w="3744"/>
            <w:vAlign w:val="center"/>
            <w:tcMar>
              <w:top w:w="55" w:type="dxa"/>
              <w:bottom w:w="55" w:type="dxa"/>
              <w:left w:w="95" w:type="dxa"/>
              <w:right w:w="95" w:type="dxa"/>
            </w:tcMar>
          </w:tcPr>
          <w:p>
            <w:pPr>
              <w:spacing w:after="0" w:line="252" w:lineRule="auto"/>
            </w:pPr>
            <w:r>
              <w:rPr>
                <w:sz w:val="19"/>
              </w:rPr>
              <w:t>Full experiment and exclusion registry</w:t>
            </w:r>
          </w:p>
        </w:tc>
        <w:tc>
          <w:tcPr>
            <w:tcW w:type="dxa" w:w="1728"/>
            <w:vAlign w:val="center"/>
            <w:tcMar>
              <w:top w:w="55" w:type="dxa"/>
              <w:bottom w:w="55" w:type="dxa"/>
              <w:left w:w="95" w:type="dxa"/>
              <w:right w:w="95" w:type="dxa"/>
            </w:tcMar>
          </w:tcPr>
          <w:p>
            <w:pPr>
              <w:spacing w:after="0" w:line="252" w:lineRule="auto"/>
            </w:pPr>
            <w:r>
              <w:rPr>
                <w:sz w:val="19"/>
              </w:rPr>
              <w:t>R8, R10</w:t>
            </w:r>
          </w:p>
        </w:tc>
        <w:tc>
          <w:tcPr>
            <w:tcW w:type="dxa" w:w="4176"/>
            <w:vAlign w:val="center"/>
            <w:tcMar>
              <w:top w:w="55" w:type="dxa"/>
              <w:bottom w:w="55" w:type="dxa"/>
              <w:left w:w="95" w:type="dxa"/>
              <w:right w:w="95" w:type="dxa"/>
            </w:tcMar>
          </w:tcPr>
          <w:p>
            <w:pPr>
              <w:spacing w:after="0" w:line="252" w:lineRule="auto"/>
            </w:pPr>
            <w:r>
              <w:rPr>
                <w:sz w:val="19"/>
              </w:rPr>
              <w:t>Leakage, selective reporting and reproducibility</w:t>
            </w:r>
          </w:p>
        </w:tc>
      </w:tr>
      <w:tr>
        <w:trPr>
          <w:cantSplit/>
        </w:trPr>
        <w:tc>
          <w:tcPr>
            <w:tcW w:type="dxa" w:w="3744"/>
            <w:vAlign w:val="center"/>
            <w:tcMar>
              <w:top w:w="55" w:type="dxa"/>
              <w:bottom w:w="55" w:type="dxa"/>
              <w:left w:w="95" w:type="dxa"/>
              <w:right w:w="95" w:type="dxa"/>
            </w:tcMar>
            <w:shd w:fill="F2F5F7"/>
          </w:tcPr>
          <w:p>
            <w:pPr>
              <w:spacing w:after="0" w:line="252" w:lineRule="auto"/>
            </w:pPr>
            <w:r>
              <w:rPr>
                <w:sz w:val="19"/>
              </w:rPr>
              <w:t>Explicit task contracts and stopping</w:t>
            </w:r>
          </w:p>
        </w:tc>
        <w:tc>
          <w:tcPr>
            <w:tcW w:type="dxa" w:w="1728"/>
            <w:vAlign w:val="center"/>
            <w:tcMar>
              <w:top w:w="55" w:type="dxa"/>
              <w:bottom w:w="55" w:type="dxa"/>
              <w:left w:w="95" w:type="dxa"/>
              <w:right w:w="95" w:type="dxa"/>
            </w:tcMar>
            <w:shd w:fill="F2F5F7"/>
          </w:tcPr>
          <w:p>
            <w:pPr>
              <w:spacing w:after="0" w:line="252" w:lineRule="auto"/>
            </w:pPr>
            <w:r>
              <w:rPr>
                <w:sz w:val="19"/>
              </w:rPr>
              <w:t>R6, R12, R14</w:t>
            </w:r>
          </w:p>
        </w:tc>
        <w:tc>
          <w:tcPr>
            <w:tcW w:type="dxa" w:w="4176"/>
            <w:vAlign w:val="center"/>
            <w:tcMar>
              <w:top w:w="55" w:type="dxa"/>
              <w:bottom w:w="55" w:type="dxa"/>
              <w:left w:w="95" w:type="dxa"/>
              <w:right w:w="95" w:type="dxa"/>
            </w:tcMar>
            <w:shd w:fill="F2F5F7"/>
          </w:tcPr>
          <w:p>
            <w:pPr>
              <w:spacing w:after="0" w:line="252" w:lineRule="auto"/>
            </w:pPr>
            <w:r>
              <w:rPr>
                <w:sz w:val="19"/>
              </w:rPr>
              <w:t>Duplication, gaps, premature stopping and recovery</w:t>
            </w:r>
          </w:p>
        </w:tc>
      </w:tr>
      <w:tr>
        <w:trPr>
          <w:cantSplit/>
        </w:trPr>
        <w:tc>
          <w:tcPr>
            <w:tcW w:type="dxa" w:w="3744"/>
            <w:vAlign w:val="center"/>
            <w:tcMar>
              <w:top w:w="55" w:type="dxa"/>
              <w:bottom w:w="55" w:type="dxa"/>
              <w:left w:w="95" w:type="dxa"/>
              <w:right w:w="95" w:type="dxa"/>
            </w:tcMar>
          </w:tcPr>
          <w:p>
            <w:pPr>
              <w:spacing w:after="0" w:line="252" w:lineRule="auto"/>
            </w:pPr>
            <w:r>
              <w:rPr>
                <w:sz w:val="19"/>
              </w:rPr>
              <w:t>Matched budget architecture comparisons</w:t>
            </w:r>
          </w:p>
        </w:tc>
        <w:tc>
          <w:tcPr>
            <w:tcW w:type="dxa" w:w="1728"/>
            <w:vAlign w:val="center"/>
            <w:tcMar>
              <w:top w:w="55" w:type="dxa"/>
              <w:bottom w:w="55" w:type="dxa"/>
              <w:left w:w="95" w:type="dxa"/>
              <w:right w:w="95" w:type="dxa"/>
            </w:tcMar>
          </w:tcPr>
          <w:p>
            <w:pPr>
              <w:spacing w:after="0" w:line="252" w:lineRule="auto"/>
            </w:pPr>
            <w:r>
              <w:rPr>
                <w:sz w:val="19"/>
              </w:rPr>
              <w:t>R11, R21</w:t>
            </w:r>
          </w:p>
        </w:tc>
        <w:tc>
          <w:tcPr>
            <w:tcW w:type="dxa" w:w="4176"/>
            <w:vAlign w:val="center"/>
            <w:tcMar>
              <w:top w:w="55" w:type="dxa"/>
              <w:bottom w:w="55" w:type="dxa"/>
              <w:left w:w="95" w:type="dxa"/>
              <w:right w:w="95" w:type="dxa"/>
            </w:tcMar>
          </w:tcPr>
          <w:p>
            <w:pPr>
              <w:spacing w:after="0" w:line="252" w:lineRule="auto"/>
            </w:pPr>
            <w:r>
              <w:rPr>
                <w:sz w:val="19"/>
              </w:rPr>
              <w:t>Target success, uncertainty and actual cost</w:t>
            </w:r>
          </w:p>
        </w:tc>
      </w:tr>
      <w:tr>
        <w:trPr>
          <w:cantSplit/>
        </w:trPr>
        <w:tc>
          <w:tcPr>
            <w:tcW w:type="dxa" w:w="3744"/>
            <w:vAlign w:val="center"/>
            <w:tcMar>
              <w:top w:w="55" w:type="dxa"/>
              <w:bottom w:w="55" w:type="dxa"/>
              <w:left w:w="95" w:type="dxa"/>
              <w:right w:w="95" w:type="dxa"/>
            </w:tcMar>
            <w:shd w:fill="F2F5F7"/>
          </w:tcPr>
          <w:p>
            <w:pPr>
              <w:spacing w:after="0" w:line="252" w:lineRule="auto"/>
            </w:pPr>
            <w:r>
              <w:rPr>
                <w:sz w:val="19"/>
              </w:rPr>
              <w:t>Runtime adapter and enforced permissions</w:t>
            </w:r>
          </w:p>
        </w:tc>
        <w:tc>
          <w:tcPr>
            <w:tcW w:type="dxa" w:w="1728"/>
            <w:vAlign w:val="center"/>
            <w:tcMar>
              <w:top w:w="55" w:type="dxa"/>
              <w:bottom w:w="55" w:type="dxa"/>
              <w:left w:w="95" w:type="dxa"/>
              <w:right w:w="95" w:type="dxa"/>
            </w:tcMar>
            <w:shd w:fill="F2F5F7"/>
          </w:tcPr>
          <w:p>
            <w:pPr>
              <w:spacing w:after="0" w:line="252" w:lineRule="auto"/>
            </w:pPr>
            <w:r>
              <w:rPr>
                <w:sz w:val="19"/>
              </w:rPr>
              <w:t>R18, R19</w:t>
            </w:r>
          </w:p>
        </w:tc>
        <w:tc>
          <w:tcPr>
            <w:tcW w:type="dxa" w:w="4176"/>
            <w:vAlign w:val="center"/>
            <w:tcMar>
              <w:top w:w="55" w:type="dxa"/>
              <w:bottom w:w="55" w:type="dxa"/>
              <w:left w:w="95" w:type="dxa"/>
              <w:right w:w="95" w:type="dxa"/>
            </w:tcMar>
            <w:shd w:fill="F2F5F7"/>
          </w:tcPr>
          <w:p>
            <w:pPr>
              <w:spacing w:after="0" w:line="252" w:lineRule="auto"/>
            </w:pPr>
            <w:r>
              <w:rPr>
                <w:sz w:val="19"/>
              </w:rPr>
              <w:t>Real isolation, limits and cancellation</w:t>
            </w:r>
          </w:p>
        </w:tc>
      </w:tr>
    </w:tbl>
    <w:p>
      <w:pPr>
        <w:spacing w:after="40" w:before="0" w:line="240" w:lineRule="auto"/>
      </w:pPr>
      <w:r>
        <w:rPr>
          <w:sz w:val="4"/>
        </w:rPr>
      </w:r>
    </w:p>
    <w:p>
      <w:pPr>
        <w:pStyle w:val="Heading2"/>
      </w:pPr>
      <w:r>
        <w:rPr>
          <w:color w:val="000000"/>
        </w:rPr>
        <w:t>Maintain the reusable template</w:t>
      </w:r>
    </w:p>
    <w:p>
      <w:r>
        <w:t>After each investigation, retain the filled worksheet, contract versions, prompt version, evaluation outcome and useful failure lessons. Review template changes against the checklist. Test a change on existing evaluation tasks before adopting it as the new default.</w:t>
      </w:r>
    </w:p>
    <w:p>
      <w:r>
        <w:t>Pin repository commits and exact paper versions when implementing a mechanism. Save documentation snapshots or access dates for product APIs. Recheck model capabilities, prices, rate limits and beta schemas at implementation time. Record a mid-run model or harness change as a change in experimental conditions.</w:t>
      </w:r>
    </w:p>
    <w:p>
      <w:r>
        <w:t>Keep the master prompt concise enough to remain usable. Put large corpora, full logs, detailed schemas and code in retrievable artifacts. Attach only the relevant domain instructions. Maintain a short operational plan for the current task and preserve the stable acceptance contract separately.</w:t>
      </w:r>
    </w:p>
    <w:p>
      <w:r>
        <w:t>This version is a source-informed design specification and reusable prompt handbook. Its consistency checks cover authority, state, verification, budgets and evidence limits. The integrated architecture still needs implementation testing on the chosen domain before its performance or reliability can be claimed.</w:t>
      </w:r>
    </w:p>
    <w:sectPr w:rsidR="00FC693F" w:rsidRPr="0006063C" w:rsidSect="00034616">
      <w:footerReference w:type="default" r:id="rId9"/>
      <w:pgSz w:w="12240" w:h="15840"/>
      <w:pgMar w:top="979" w:right="1224" w:bottom="936" w:left="122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Research Swarm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nai.com/index/navier-stokes-solution/" TargetMode="External"/><Relationship Id="rId12" Type="http://schemas.openxmlformats.org/officeDocument/2006/relationships/hyperlink" Target="https://cdn.openai.com/pdf/32d9f210-8b73-45e0-91bc-82a30aef8a9a/navier-stokes.pdf" TargetMode="External"/><Relationship Id="rId13" Type="http://schemas.openxmlformats.org/officeDocument/2006/relationships/hyperlink" Target="https://www.claymath.org/wp-content/uploads/2022/06/navierstokes.pdf" TargetMode="External"/><Relationship Id="rId14" Type="http://schemas.openxmlformats.org/officeDocument/2006/relationships/hyperlink" Target="https://github.com/openai/NavierStokesAndEuler" TargetMode="External"/><Relationship Id="rId15" Type="http://schemas.openxmlformats.org/officeDocument/2006/relationships/hyperlink" Target="https://github.com/openai/NavierStokesAndEuler/tree/main/ComparatorChallenges" TargetMode="External"/><Relationship Id="rId16" Type="http://schemas.openxmlformats.org/officeDocument/2006/relationships/hyperlink" Target="https://github.com/openai/NavierStokesAndEuler/blob/main/formalization.yaml" TargetMode="External"/><Relationship Id="rId17" Type="http://schemas.openxmlformats.org/officeDocument/2006/relationships/hyperlink" Target="https://cdn.openai.com/pdf/315b36cd-ec98-4023-8342-93345194ece1/euler.pdf" TargetMode="External"/><Relationship Id="rId18" Type="http://schemas.openxmlformats.org/officeDocument/2006/relationships/hyperlink" Target="https://github.com/leanprover/comparator" TargetMode="External"/><Relationship Id="rId19" Type="http://schemas.openxmlformats.org/officeDocument/2006/relationships/hyperlink" Target="https://www.anthropic.com/engineering/multi-agent-research-system" TargetMode="External"/><Relationship Id="rId20" Type="http://schemas.openxmlformats.org/officeDocument/2006/relationships/hyperlink" Target="https://arxiv.org/pdf/2502.18864v2" TargetMode="External"/><Relationship Id="rId21" Type="http://schemas.openxmlformats.org/officeDocument/2006/relationships/hyperlink" Target="https://arxiv.org/html/2502.18864v1" TargetMode="External"/><Relationship Id="rId22" Type="http://schemas.openxmlformats.org/officeDocument/2006/relationships/hyperlink" Target="https://arxiv.org/html/2608.26701v1" TargetMode="External"/><Relationship Id="rId23" Type="http://schemas.openxmlformats.org/officeDocument/2006/relationships/hyperlink" Target="https://arxiv.org/pdf/2603.08127v1" TargetMode="External"/><Relationship Id="rId24" Type="http://schemas.openxmlformats.org/officeDocument/2006/relationships/hyperlink" Target="https://arxiv.org/pdf/2504.08066v1" TargetMode="External"/><Relationship Id="rId25" Type="http://schemas.openxmlformats.org/officeDocument/2006/relationships/hyperlink" Target="https://github.com/SakanaAI/AI-Scientist-v2" TargetMode="External"/><Relationship Id="rId26" Type="http://schemas.openxmlformats.org/officeDocument/2006/relationships/hyperlink" Target="https://github.com/SakanaAI/AI-Scientist-v2/blob/main/bfts_config.yaml" TargetMode="External"/><Relationship Id="rId27" Type="http://schemas.openxmlformats.org/officeDocument/2006/relationships/hyperlink" Target="https://arxiv.org/html/2512.08296v3" TargetMode="External"/><Relationship Id="rId28" Type="http://schemas.openxmlformats.org/officeDocument/2006/relationships/hyperlink" Target="https://github.com/ybkim95/agent-scaling" TargetMode="External"/><Relationship Id="rId29" Type="http://schemas.openxmlformats.org/officeDocument/2006/relationships/hyperlink" Target="https://arxiv.org/html/2503.13657v3" TargetMode="External"/><Relationship Id="rId30" Type="http://schemas.openxmlformats.org/officeDocument/2006/relationships/hyperlink" Target="https://github.com/multi-agent-systems-failure-taxonomy/MAST" TargetMode="External"/><Relationship Id="rId31" Type="http://schemas.openxmlformats.org/officeDocument/2006/relationships/hyperlink" Target="https://arxiv.org/pdf/2609.04170v1" TargetMode="External"/><Relationship Id="rId32" Type="http://schemas.openxmlformats.org/officeDocument/2006/relationships/hyperlink" Target="https://arxiv.org/html/2606.09730v2" TargetMode="External"/><Relationship Id="rId33" Type="http://schemas.openxmlformats.org/officeDocument/2006/relationships/hyperlink" Target="https://arxiv.org/abs/2601.12542v2" TargetMode="External"/><Relationship Id="rId34" Type="http://schemas.openxmlformats.org/officeDocument/2006/relationships/hyperlink" Target="https://www.researchgate.net/publication/399931889_Rethinking_the_AI_Scientist_Interactive_Multi-Agent_Workflows_for_Scientific_Discovery" TargetMode="External"/><Relationship Id="rId35" Type="http://schemas.openxmlformats.org/officeDocument/2006/relationships/hyperlink" Target="https://github.com/bio-xyz/BioAgents" TargetMode="External"/><Relationship Id="rId36" Type="http://schemas.openxmlformats.org/officeDocument/2006/relationships/hyperlink" Target="https://www.anthropic.com/engineering/building-c-compiler" TargetMode="External"/><Relationship Id="rId37" Type="http://schemas.openxmlformats.org/officeDocument/2006/relationships/hyperlink" Target="https://developers.openai.com/api/docs/guides/agents/orchestration" TargetMode="External"/><Relationship Id="rId38" Type="http://schemas.openxmlformats.org/officeDocument/2006/relationships/hyperlink" Target="https://developers.openai.com/api/docs/guides/responses-multi-agent" TargetMode="External"/><Relationship Id="rId39" Type="http://schemas.openxmlformats.org/officeDocument/2006/relationships/hyperlink" Target="https://developers.openai.com/api/docs/guides/agents-api/architecture" TargetMode="External"/><Relationship Id="rId40" Type="http://schemas.openxmlformats.org/officeDocument/2006/relationships/hyperlink" Target="https://developers.openai.com/api/docs/guides/agents" TargetMode="External"/><Relationship Id="rId41" Type="http://schemas.openxmlformats.org/officeDocument/2006/relationships/hyperlink" Target="https://cdn.openai.com/pdf/f4b4a5da-b2de-418d-9fcd-6b293e9dc157/oai_ai-as-a-scientific-collaborator_jan-2026.pdf" TargetMode="External"/><Relationship Id="rId42" Type="http://schemas.openxmlformats.org/officeDocument/2006/relationships/hyperlink" Target="https://developers.openai.com/api/docs/guides/agent-evals" TargetMode="External"/><Relationship Id="rId43" Type="http://schemas.openxmlformats.org/officeDocument/2006/relationships/hyperlink" Target="https://developers.openai.com/api/docs/guides/agents-api/tracing" TargetMode="External"/><Relationship Id="rId44" Type="http://schemas.openxmlformats.org/officeDocument/2006/relationships/hyperlink" Target="https://platform.claude.com/cookbook/patterns-agents-basic-workfl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Swarm Architecture and Prompt Template</dc:title>
  <dc:subject>Reusable research architecture and problem prompt handbook</dc:subject>
  <dc:creator/>
  <cp:keywords>research, multi-agent, verification, prompt template</cp:keywords>
  <dc:description>generated by python-docx</dc:description>
  <cp:lastModifiedBy/>
  <cp:revision>1</cp:revision>
  <dcterms:created xsi:type="dcterms:W3CDTF">2013-12-23T23:15:00Z</dcterms:created>
  <dcterms:modified xsi:type="dcterms:W3CDTF">2013-12-23T23:15:00Z</dcterms:modified>
  <cp:category/>
</cp:coreProperties>
</file>