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Nota de método: cambios de SeMiLLa 2.12.0 para el artículo</w:t>
      </w:r>
    </w:p>
    <w:p>
      <w:pPr>
        <w:spacing w:after="120"/>
      </w:pPr>
      <w:r>
        <w:rPr>
          <w:b w:val="0"/>
          <w:i/>
          <w:sz w:val="20"/>
        </w:rPr>
        <w:t>Texto propuesto para la sección de Método (y su limitación correspondiente) del artículo que describe el flujo de SeMiLLa. Los datos provienen de las mediciones del 9 de octubre de 2026; los scripts están en _laboratorio_fase2_pertenencia.</w:t>
      </w:r>
    </w:p>
    <w:p>
      <w:pPr>
        <w:spacing w:after="120"/>
      </w:pPr>
      <w:r>
        <w:rPr>
          <w:b/>
          <w:i w:val="0"/>
        </w:rPr>
        <w:t>Pertenencia de los ítems a su dimensión</w:t>
      </w:r>
    </w:p>
    <w:p>
      <w:pPr>
        <w:spacing w:after="120"/>
      </w:pPr>
      <w:r>
        <w:rPr>
          <w:b w:val="0"/>
          <w:i w:val="0"/>
        </w:rPr>
        <w:t>La pertenencia de cada ítem a su dimensión teórica se estimó mediante dos lectores de texto independientes: un modelo de decisión (Jev, TypeSafe AI), que devuelve una distribución de probabilidad sobre las dimensiones, y un modelo de lenguaje distinto del que redactó los ítems (Claude Haiku 5.5). La probabilidad de pertenencia se obtuvo como el promedio de ambos lectores. El consenso del agrupamiento en conjunto de los embeddings (k-means, Ward y modelos de mezcla gaussiana; Voss et al., 2026) se conservó como segunda lectura, de modo que los ítems en que ambas lecturas discreparon se marcaron para una revisión manual, sin promediarse. En este sentido, la decisión dejó de depender de una sola fuente de información y quien juzga la pertenencia no es el mismo modelo que generó los ítems (GPT-6 Luna), lo que reduce la circularidad entre generación y evaluación.</w:t>
      </w:r>
    </w:p>
    <w:p>
      <w:pPr>
        <w:spacing w:after="120"/>
      </w:pPr>
      <w:r>
        <w:rPr>
          <w:b w:val="0"/>
          <w:i w:val="0"/>
        </w:rPr>
        <w:t>El procedimiento se contrastó con nueve escalas públicas de OpenPsychometrics (306 ítems, n = 1500 por escala), tomando como criterio la estructura factorial que mejor ajustó a los datos. La probabilidad de los lectores de texto predijo qué ítems pertenecen empíricamente a su dimensión con un AUC de .77, frente a .61 del consenso del agrupamiento (diferencia de .20; IC 95 % [.08, .32]); además, agregar el consenso al promedio no mejoró la predicción (AUC = .69).</w:t>
      </w:r>
    </w:p>
    <w:p>
      <w:pPr>
        <w:spacing w:after="120"/>
      </w:pPr>
      <w:r>
        <w:rPr>
          <w:b/>
          <w:i w:val="0"/>
        </w:rPr>
        <w:t>Deseabilidad social y correlación entre dimensiones en la simulación previa</w:t>
      </w:r>
    </w:p>
    <w:p>
      <w:pPr>
        <w:spacing w:after="120"/>
      </w:pPr>
      <w:r>
        <w:rPr>
          <w:b w:val="0"/>
          <w:i w:val="0"/>
        </w:rPr>
        <w:t>La deseabilidad social de cada ítem se estimó con el modelo de juicio (Claude Haiku 5.5) como el promedio de cuatro pasadas, cuya correlación entre corridas independientes fue de .97 a .99. Se evaluó además un modelo de decisión (Jev) como juez, que resultó más estable (r = 1.00; diferencia máxima de .02 frente a .15), aunque no se adoptó por defecto debido a que, frente a la realidad, la compuerta acertó peor con su deseabilidad. Por otro lado, la correlación entre cada par de dimensiones se estimó a partir de las definiciones y de ítems de ejemplo de cada par, con lo que el error absoluto medio frente a 72 pares empíricos bajó de .248 a .135 (r = .83). Sin embargo, esta estimación se reporta como información y no se usa en la simulación, porque al emplearla la compuerta aprobó escalas que en campo no ajustaron.</w:t>
      </w:r>
    </w:p>
    <w:p>
      <w:pPr>
        <w:spacing w:after="120"/>
      </w:pPr>
      <w:r>
        <w:rPr>
          <w:b w:val="0"/>
          <w:i w:val="0"/>
        </w:rPr>
        <w:t>Para decidirlo, se replicó la validación de agosto de 2026 con las mismas nueve escalas (AFC con n = 1500 como criterio, la misma semilla y 30 réplicas). El AUC de la compuerta fue de .65 con el juez anterior y la correlación supuesta de .47; de .575 con Haiku y .47; de .525 con Jev y .47; y de .375 con Jev y la correlación estimada. Cabe mencionar que, con nueve escalas, la diferencia entre .65 y .575 corresponde a una sola escala, por lo que la compuerta se interpreta como una orientación previa y no como un pronóstico.</w:t>
      </w:r>
    </w:p>
    <w:p>
      <w:pPr>
        <w:spacing w:after="120"/>
      </w:pPr>
      <w:r>
        <w:rPr>
          <w:b/>
          <w:i w:val="0"/>
        </w:rPr>
        <w:t>Validez de contenido</w:t>
      </w:r>
    </w:p>
    <w:p>
      <w:pPr>
        <w:spacing w:after="120"/>
      </w:pPr>
      <w:r>
        <w:rPr>
          <w:b w:val="0"/>
          <w:i w:val="0"/>
        </w:rPr>
        <w:t>La V de Aiken se calculó a partir de un panel de jueces simulado por un solo modelo en una sola consulta, por lo que las valoraciones no son independientes. El modelo de decisión se añadió como segunda lectura: se marcaron los ítems en que su estimación difirió en más de .30 de la V del panel. Cabe mencionar que, en 168 juicios construidos (cada ítem con su dimensión y con una dimensión equivocada), el panel discriminó mejor (AUC = .92 frente a .85), aunque llegó a variar .77 en la V de un mismo ítem entre dos corridas, mientras que el modelo de decisión varió como máximo .05.</w:t>
      </w:r>
    </w:p>
    <w:p>
      <w:pPr>
        <w:spacing w:after="120"/>
      </w:pPr>
      <w:r>
        <w:rPr>
          <w:b/>
          <w:i w:val="0"/>
        </w:rPr>
        <w:t>Limitación a declarar</w:t>
      </w:r>
    </w:p>
    <w:p>
      <w:pPr>
        <w:spacing w:after="120"/>
      </w:pPr>
      <w:r>
        <w:rPr>
          <w:b w:val="0"/>
          <w:i w:val="0"/>
        </w:rPr>
        <w:t>Las comparaciones se realizaron con escalas publicadas en inglés, en las que solo 27 de 306 ítems no pertenecían empíricamente a su dimensión, de modo que los intervalos de las métricas de pertenencia son amplios. Asimismo, la probabilidad de pertenencia, la deseabilidad y la correlación entre dimensiones se estiman a partir del texto y no reemplazan la evidencia de una aplicación en campo.</w:t>
      </w:r>
    </w:p>
    <w:p>
      <w:pPr>
        <w:spacing w:after="120"/>
      </w:pPr>
      <w:r>
        <w:rPr>
          <w:b w:val="0"/>
          <w:i/>
          <w:sz w:val="20"/>
        </w:rPr>
        <w:t>Pendiente de verificar antes de enviar: la referencia completa de Voss et al. (2026) debe tomarse del artículo ya citado, y Jev debe citarse como software (TypeSafe AI, 2026) con la fecha de acceso.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