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Post: SeMiLLa ahora cuesta 2 centavos por prueba y decide mejor</w:t>
      </w:r>
    </w:p>
    <w:p>
      <w:pPr>
        <w:spacing w:after="120"/>
      </w:pPr>
      <w:r>
        <w:rPr>
          <w:b w:val="0"/>
          <w:i/>
          <w:sz w:val="20"/>
        </w:rPr>
        <w:t>Texto para redes (LinkedIn o Facebook). Las cifras salen de mediciones del 9 de octubre de 2026.</w:t>
      </w:r>
    </w:p>
    <w:p>
      <w:pPr>
        <w:spacing w:after="120"/>
      </w:pPr>
      <w:r>
        <w:rPr>
          <w:b w:val="0"/>
          <w:i w:val="0"/>
        </w:rPr>
        <w:t>SeMiLLa tiene una versión nueva, tanto la librería de R (gratuita) como la aplicación web, y quiero contarles qué cambió y, sobre todo, cómo se comprobó cada cambio.</w:t>
      </w:r>
    </w:p>
    <w:p>
      <w:pPr>
        <w:spacing w:after="120"/>
      </w:pPr>
      <w:r>
        <w:rPr>
          <w:b w:val="0"/>
          <w:i w:val="0"/>
        </w:rPr>
        <w:t>1. Construir una prueba completa cuesta unos 2 centavos de dólar. Medí el recorrido completo de construcción de una escala de 24 ítems (generar, embeddings, compuerta previa, estructura, V de Aiken, auditoría de redacción, escala de respuesta y ensamblado): antes costaba US$ 0,071 y ahora US$ 0,020, un 72 % menos. Cien pruebas, unos US$ 2.</w:t>
      </w:r>
    </w:p>
    <w:p>
      <w:pPr>
        <w:spacing w:after="120"/>
      </w:pPr>
      <w:r>
        <w:rPr>
          <w:b w:val="0"/>
          <w:i w:val="0"/>
        </w:rPr>
        <w:t>2. Una sola clave. Con una clave de OpenRouter, SeMiLLa usa GPT-6 Luna para redactar, Claude Haiku 5.5 para juzgar y Jev, un modelo de decisión, para las preguntas de opción cerrada. Cada persona usa su propia clave, así que paga solo lo que consume.</w:t>
      </w:r>
    </w:p>
    <w:p>
      <w:pPr>
        <w:spacing w:after="120"/>
      </w:pPr>
      <w:r>
        <w:rPr>
          <w:b w:val="0"/>
          <w:i w:val="0"/>
        </w:rPr>
        <w:t>3. Saber si cada ítem pertenece a su dimensión. Antes, la decisión salía solo del agrupamiento de los embeddings. Ahora la toman dos lectores de texto independientes, y el agrupamiento queda como segunda lectura que marca los ítems dudosos. En 9 escalas reales (306 ítems, 1500 personas cada una), la nueva forma predijo mejor qué ítems pertenecen a su dimensión: AUC de 0,77 frente a 0,61.</w:t>
      </w:r>
    </w:p>
    <w:p>
      <w:pPr>
        <w:spacing w:after="120"/>
      </w:pPr>
      <w:r>
        <w:rPr>
          <w:b w:val="0"/>
          <w:i w:val="0"/>
        </w:rPr>
        <w:t>4. Un diagnóstico que no cambia de opinión. En agosto, repetir el análisis previo sobre la misma escala podía dar 0,87 y luego 0,20, porque el juez de deseabilidad social calificaba distinto el mismo ítem. Con el juez actual, la misma prueba da 0,06 y 0,04.</w:t>
      </w:r>
    </w:p>
    <w:p>
      <w:pPr>
        <w:spacing w:after="120"/>
      </w:pPr>
      <w:r>
        <w:rPr>
          <w:b w:val="0"/>
          <w:i w:val="0"/>
        </w:rPr>
        <w:t>5. La correlación entre dimensiones, ahora visible. La app estima la correlación de cada par de dimensiones y se acerca casi el doble a la real (error de 0,135 frente a 0,248). Se muestra como información, no como decisión: al usarla para decidir, el diagnóstico previo aprobaba escalas que en campo fallaban, así que se dejó fuera del veredicto.</w:t>
      </w:r>
    </w:p>
    <w:p>
      <w:pPr>
        <w:spacing w:after="120"/>
      </w:pPr>
      <w:r>
        <w:rPr>
          <w:b w:val="0"/>
          <w:i w:val="0"/>
        </w:rPr>
        <w:t>6. Lo que se probó y no se cambió. La detección de ítems inversos ya acertaba el 100 % en 113 ítems reales; el modelo de decisión no mejoró la detección de ítems gemelos; y aunque fue el juez de deseabilidad más estable, acertó peor frente a escalas reales, así que no se usa por defecto. Solo entró lo que midió mejor que lo que ya había.</w:t>
      </w:r>
    </w:p>
    <w:p>
      <w:pPr>
        <w:spacing w:after="120"/>
      </w:pPr>
      <w:r>
        <w:rPr>
          <w:b w:val="0"/>
          <w:i w:val="0"/>
        </w:rPr>
        <w:t>Una advertencia que mantengo: todo esto describe el texto de los ítems, no a las personas. SeMiLLa te ayuda a llegar mejor preparado al campo, pero no reemplaza la aplicación ni el análisis con datos reales.</w:t>
      </w:r>
    </w:p>
    <w:p>
      <w:pPr>
        <w:spacing w:after="120"/>
      </w:pPr>
      <w:r>
        <w:rPr>
          <w:b w:val="0"/>
          <w:i w:val="0"/>
        </w:rPr>
        <w:t>La librería sigue siendo gratuita. Si quieren probar la aplicación, escríbanme.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