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b/>
          <w:bCs/>
          <w:color w:val="595959"/>
          <w:sz w:val="22"/>
          <w:szCs w:val="22"/>
        </w:rPr>
        <w:t xml:space="preserve">REVELATE.CO</w:t>
      </w:r>
    </w:p>
    <w:p>
      <w:pPr>
        <w:spacing w:after="40"/>
      </w:pPr>
      <w:r>
        <w:rPr>
          <w:b/>
          <w:bCs/>
          <w:color w:val="1F2A44"/>
          <w:sz w:val="52"/>
          <w:szCs w:val="52"/>
        </w:rPr>
        <w:t xml:space="preserve">The Enterprise Control Plane</w:t>
      </w:r>
    </w:p>
    <w:p>
      <w:pPr>
        <w:spacing w:after="240"/>
      </w:pPr>
      <w:r>
        <w:rPr>
          <w:b/>
          <w:bCs/>
          <w:color w:val="2E6E5E"/>
          <w:sz w:val="32"/>
          <w:szCs w:val="32"/>
        </w:rPr>
        <w:t xml:space="preserve">6-Month Proof-of-Concept Engagement</w:t>
      </w:r>
    </w:p>
    <w:p>
      <w:pPr>
        <w:spacing w:after="40"/>
      </w:pPr>
      <w:r>
        <w:rPr>
          <w:i/>
          <w:iCs/>
          <w:color w:val="595959"/>
          <w:sz w:val="24"/>
          <w:szCs w:val="24"/>
        </w:rPr>
        <w:t xml:space="preserve">Proposal &amp; Statement of Work</w:t>
      </w:r>
    </w:p>
    <w:p>
      <w:pPr>
        <w:spacing w:after="20"/>
      </w:pPr>
      <w:r>
        <w:rPr>
          <w:color w:val="595959"/>
        </w:rPr>
        <w:t xml:space="preserve">July 2026</w:t>
      </w:r>
    </w:p>
    <w:p>
      <w:pPr>
        <w:spacing w:after="20"/>
      </w:pPr>
      <w:r>
        <w:rPr>
          <w:i/>
          <w:iCs/>
          <w:color w:val="595959"/>
        </w:rPr>
        <w:t xml:space="preserve">Companion to: The Enterprise Control Plane — Product &amp; Technology Thesis, and the Strategic Concept Proposal (V2)</w:t>
      </w:r>
    </w:p>
    <w:p>
      <w:pPr>
        <w:spacing w:after="300"/>
      </w:pPr>
      <w:r>
        <w:rPr>
          <w:b/>
          <w:bCs/>
          <w:color w:val="B00020"/>
        </w:rPr>
        <w:t xml:space="preserve">DRAFT — For Discussion Purposes Only</w:t>
      </w:r>
    </w:p>
    <w:p>
      <w:pPr>
        <w:pBdr>
          <w:bottom w:val="single" w:color="CCCCCC" w:sz="6" w:space="4"/>
        </w:pBdr>
        <w:spacing w:after="200"/>
      </w:pPr>
    </w:p>
    <w:p>
      <w:pPr>
        <w:pStyle w:val="Heading1"/>
        <w:spacing w:after="160" w:before="360"/>
      </w:pPr>
      <w:r>
        <w:rPr>
          <w:b/>
          <w:bCs/>
          <w:color w:val="1F2A44"/>
        </w:rPr>
        <w:t xml:space="preserve">1. Purpose &amp; Context</w:t>
      </w:r>
    </w:p>
    <w:p>
      <w:pPr>
        <w:spacing w:after="160"/>
      </w:pPr>
      <w:r>
        <w:t xml:space="preserve">Revelate's Enterprise Control Plane thesis argues that Revelate is uniquely positioned to become the neutral control plane for how AI touches enterprise data — governance today, autonomous decision governance tomorrow. The thesis lays out a three-stage roadmap and is deliberately disciplined: prove real value with a small team before scaling, and let validated revenue fund the pace of everything after.</w:t>
      </w:r>
    </w:p>
    <w:p>
      <w:pPr>
        <w:spacing w:after="160"/>
      </w:pPr>
      <w:r>
        <w:t xml:space="preserve">This document proposes the vehicle for proving Stage 1: a 6-month, resourced, paid engagement to build the core, high-value proof points directly on Revelate's existing platform, validate them with real design partners, and produce the evidence needed both to expand the product line and to raise the next round of capital.</w:t>
      </w:r>
    </w:p>
    <w:p>
      <w:pPr>
        <w:pStyle w:val="Heading1"/>
        <w:spacing w:after="160" w:before="360"/>
      </w:pPr>
      <w:r>
        <w:rPr>
          <w:b/>
          <w:bCs/>
          <w:color w:val="1F2A44"/>
        </w:rPr>
        <w:t xml:space="preserve">2. Engagement Overview</w:t>
      </w:r>
    </w:p>
    <w:p>
      <w:pPr>
        <w:pStyle w:val="ListParagraph"/>
        <w:numPr>
          <w:ilvl w:val="0"/>
          <w:numId w:val="2"/>
        </w:numPr>
        <w:spacing w:after="90"/>
      </w:pPr>
      <w:r>
        <w:rPr>
          <w:b/>
          <w:bCs/>
        </w:rPr>
        <w:t xml:space="preserve">Objective. </w:t>
      </w:r>
      <w:r>
        <w:t xml:space="preserve">In 6 months, working from Revelate's existing codebase and alongside the current engineering team, deliver the governed, auditable AI access capability described as Stage 1 of the Control Plane thesis; validate it with 2–3 design partners; and produce a complete AI product roadmap, PRD set, and go-to-market plan.</w:t>
      </w:r>
    </w:p>
    <w:p>
      <w:pPr>
        <w:pStyle w:val="ListParagraph"/>
        <w:numPr>
          <w:ilvl w:val="0"/>
          <w:numId w:val="2"/>
        </w:numPr>
        <w:spacing w:after="90"/>
      </w:pPr>
      <w:r>
        <w:rPr>
          <w:b/>
          <w:bCs/>
        </w:rPr>
        <w:t xml:space="preserve">Model. </w:t>
      </w:r>
      <w:r>
        <w:t xml:space="preserve">A parallel build track, not a separate skunkworks. New engineers extend Revelate's existing services and data model directly, consistent with the thesis's own design rule — governance is built into the platform layers as they're created, not retrofitted later.</w:t>
      </w:r>
    </w:p>
    <w:p>
      <w:pPr>
        <w:pStyle w:val="ListParagraph"/>
        <w:numPr>
          <w:ilvl w:val="0"/>
          <w:numId w:val="2"/>
        </w:numPr>
        <w:spacing w:after="90"/>
      </w:pPr>
      <w:r>
        <w:rPr>
          <w:b/>
          <w:bCs/>
        </w:rPr>
        <w:t xml:space="preserve">Duration. </w:t>
      </w:r>
      <w:r>
        <w:t xml:space="preserve">6 months from the agreed start date, structured in three two-month phases (Section 5).</w:t>
      </w:r>
    </w:p>
    <w:p>
      <w:pPr>
        <w:pStyle w:val="ListParagraph"/>
        <w:numPr>
          <w:ilvl w:val="0"/>
          <w:numId w:val="2"/>
        </w:numPr>
        <w:spacing w:after="90"/>
      </w:pPr>
      <w:r>
        <w:rPr>
          <w:b/>
          <w:bCs/>
        </w:rPr>
        <w:t xml:space="preserve">Validation target. </w:t>
      </w:r>
      <w:r>
        <w:t xml:space="preserve">Two-to-three signed design partners actively using governed AI access with documented willingness to pay — the same evidence threshold ("Gate 1") defined in the underlying thesis.</w:t>
      </w:r>
    </w:p>
    <w:p>
      <w:pPr>
        <w:pStyle w:val="Heading1"/>
        <w:spacing w:after="160" w:before="360"/>
      </w:pPr>
      <w:r>
        <w:rPr>
          <w:b/>
          <w:bCs/>
          <w:color w:val="1F2A44"/>
        </w:rPr>
        <w:t xml:space="preserve">3. Team &amp; Working Model</w:t>
      </w:r>
    </w:p>
    <w:p>
      <w:pPr>
        <w:spacing w:after="160"/>
      </w:pPr>
      <w:r>
        <w:t xml:space="preserve">The engagement is resourced with three people: one AI product &amp; GTM lead (Jason) and two AI engineers. It runs in parallel with, and embedded into, Revelate's existing engineering team — not as an isolated project.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gridCol w:w="1800"/>
      </w:tblGrid>
      <w:tr>
        <w:trPr>
          <w:tblHeader/>
        </w:trPr>
        <w:tc>
          <w:tcPr>
            <w:tcW w:type="dxa" w:w="3400"/>
            <w:shd w:fill="1F2A44" w:val="clear"/>
            <w:tcMar>
              <w:top w:type="dxa" w:w="80"/>
              <w:left w:type="dxa" w:w="100"/>
              <w:bottom w:type="dxa" w:w="80"/>
              <w:right w:type="dxa" w:w="100"/>
            </w:tcMar>
          </w:tcPr>
          <w:p>
            <w:r>
              <w:rPr>
                <w:b/>
                <w:bCs/>
                <w:color w:val="FFFFFF"/>
                <w:sz w:val="20"/>
                <w:szCs w:val="20"/>
              </w:rPr>
              <w:t xml:space="preserve">Role</w:t>
            </w:r>
          </w:p>
        </w:tc>
        <w:tc>
          <w:tcPr>
            <w:tcW w:type="dxa" w:w="5600"/>
            <w:shd w:fill="1F2A44" w:val="clear"/>
            <w:tcMar>
              <w:top w:type="dxa" w:w="80"/>
              <w:left w:type="dxa" w:w="100"/>
              <w:bottom w:type="dxa" w:w="80"/>
              <w:right w:type="dxa" w:w="100"/>
            </w:tcMar>
          </w:tcPr>
          <w:p>
            <w:r>
              <w:rPr>
                <w:b/>
                <w:bCs/>
                <w:color w:val="FFFFFF"/>
                <w:sz w:val="20"/>
                <w:szCs w:val="20"/>
              </w:rPr>
              <w:t xml:space="preserve">Focus</w:t>
            </w:r>
          </w:p>
        </w:tc>
        <w:tc>
          <w:tcPr>
            <w:tcW w:type="dxa" w:w="1800"/>
            <w:shd w:fill="1F2A44" w:val="clear"/>
            <w:tcMar>
              <w:top w:type="dxa" w:w="80"/>
              <w:left w:type="dxa" w:w="100"/>
              <w:bottom w:type="dxa" w:w="80"/>
              <w:right w:type="dxa" w:w="100"/>
            </w:tcMar>
          </w:tcPr>
          <w:p>
            <w:r>
              <w:rPr>
                <w:b/>
                <w:bCs/>
                <w:color w:val="FFFFFF"/>
                <w:sz w:val="20"/>
                <w:szCs w:val="20"/>
              </w:rPr>
              <w:t xml:space="preserve">Time</w:t>
            </w:r>
          </w:p>
        </w:tc>
      </w:tr>
      <w:tr>
        <w:tc>
          <w:tcPr>
            <w:tcW w:type="dxa" w:w="3400"/>
            <w:tcMar>
              <w:top w:type="dxa" w:w="80"/>
              <w:left w:type="dxa" w:w="100"/>
              <w:bottom w:type="dxa" w:w="80"/>
              <w:right w:type="dxa" w:w="100"/>
            </w:tcMar>
          </w:tcPr>
          <w:p>
            <w:r>
              <w:rPr>
                <w:b w:val="false"/>
                <w:bCs w:val="false"/>
                <w:color w:val="000000"/>
                <w:sz w:val="20"/>
                <w:szCs w:val="20"/>
              </w:rPr>
              <w:t xml:space="preserve">Jason — AI Product &amp; GTM Lead</w:t>
            </w:r>
          </w:p>
        </w:tc>
        <w:tc>
          <w:tcPr>
            <w:tcW w:type="dxa" w:w="5600"/>
            <w:tcMar>
              <w:top w:type="dxa" w:w="80"/>
              <w:left w:type="dxa" w:w="100"/>
              <w:bottom w:type="dxa" w:w="80"/>
              <w:right w:type="dxa" w:w="100"/>
            </w:tcMar>
          </w:tcPr>
          <w:p>
            <w:r>
              <w:rPr>
                <w:b w:val="false"/>
                <w:bCs w:val="false"/>
                <w:color w:val="000000"/>
                <w:sz w:val="20"/>
                <w:szCs w:val="20"/>
              </w:rPr>
              <w:t xml:space="preserve">Owns the AI product roadmap; writes the PRD for every capability in scope; builds the full go-to-market plan (ICP, positioning, pricing, launch, design-partner recruiting); runs the design-partner program; coordinates with Revelate leadership and the existing team; carries the narrative to design partners and, eventually, investors.</w:t>
            </w:r>
          </w:p>
        </w:tc>
        <w:tc>
          <w:tcPr>
            <w:tcW w:type="dxa" w:w="1800"/>
            <w:tcMar>
              <w:top w:type="dxa" w:w="80"/>
              <w:left w:type="dxa" w:w="100"/>
              <w:bottom w:type="dxa" w:w="80"/>
              <w:right w:type="dxa" w:w="100"/>
            </w:tcMar>
          </w:tcPr>
          <w:p>
            <w:r>
              <w:rPr>
                <w:b w:val="false"/>
                <w:bCs w:val="false"/>
                <w:color w:val="000000"/>
                <w:sz w:val="20"/>
                <w:szCs w:val="20"/>
              </w:rPr>
              <w:t xml:space="preserve">Full-time, 6 months</w:t>
            </w:r>
          </w:p>
        </w:tc>
      </w:tr>
      <w:tr>
        <w:tc>
          <w:tcPr>
            <w:tcW w:type="dxa" w:w="3400"/>
            <w:tcMar>
              <w:top w:type="dxa" w:w="80"/>
              <w:left w:type="dxa" w:w="100"/>
              <w:bottom w:type="dxa" w:w="80"/>
              <w:right w:type="dxa" w:w="100"/>
            </w:tcMar>
          </w:tcPr>
          <w:p>
            <w:r>
              <w:rPr>
                <w:b w:val="false"/>
                <w:bCs w:val="false"/>
                <w:color w:val="000000"/>
                <w:sz w:val="20"/>
                <w:szCs w:val="20"/>
              </w:rPr>
              <w:t xml:space="preserve">AI Engineer 1</w:t>
            </w:r>
          </w:p>
        </w:tc>
        <w:tc>
          <w:tcPr>
            <w:tcW w:type="dxa" w:w="5600"/>
            <w:tcMar>
              <w:top w:type="dxa" w:w="80"/>
              <w:left w:type="dxa" w:w="100"/>
              <w:bottom w:type="dxa" w:w="80"/>
              <w:right w:type="dxa" w:w="100"/>
            </w:tcMar>
          </w:tcPr>
          <w:p>
            <w:r>
              <w:rPr>
                <w:b w:val="false"/>
                <w:bCs w:val="false"/>
                <w:color w:val="000000"/>
                <w:sz w:val="20"/>
                <w:szCs w:val="20"/>
              </w:rPr>
              <w:t xml:space="preserve">Builds core proof points in Track A (platform) and Track B (governance overlay), pairing directly with Revelate's existing engineers in the existing codebase.</w:t>
            </w:r>
          </w:p>
        </w:tc>
        <w:tc>
          <w:tcPr>
            <w:tcW w:type="dxa" w:w="1800"/>
            <w:tcMar>
              <w:top w:type="dxa" w:w="80"/>
              <w:left w:type="dxa" w:w="100"/>
              <w:bottom w:type="dxa" w:w="80"/>
              <w:right w:type="dxa" w:w="100"/>
            </w:tcMar>
          </w:tcPr>
          <w:p>
            <w:r>
              <w:rPr>
                <w:b w:val="false"/>
                <w:bCs w:val="false"/>
                <w:color w:val="000000"/>
                <w:sz w:val="20"/>
                <w:szCs w:val="20"/>
              </w:rPr>
              <w:t xml:space="preserve">Full-time, 6 months</w:t>
            </w:r>
          </w:p>
        </w:tc>
      </w:tr>
      <w:tr>
        <w:tc>
          <w:tcPr>
            <w:tcW w:type="dxa" w:w="3400"/>
            <w:tcMar>
              <w:top w:type="dxa" w:w="80"/>
              <w:left w:type="dxa" w:w="100"/>
              <w:bottom w:type="dxa" w:w="80"/>
              <w:right w:type="dxa" w:w="100"/>
            </w:tcMar>
          </w:tcPr>
          <w:p>
            <w:r>
              <w:rPr>
                <w:b w:val="false"/>
                <w:bCs w:val="false"/>
                <w:color w:val="000000"/>
                <w:sz w:val="20"/>
                <w:szCs w:val="20"/>
              </w:rPr>
              <w:t xml:space="preserve">AI Engineer 2</w:t>
            </w:r>
          </w:p>
        </w:tc>
        <w:tc>
          <w:tcPr>
            <w:tcW w:type="dxa" w:w="5600"/>
            <w:tcMar>
              <w:top w:type="dxa" w:w="80"/>
              <w:left w:type="dxa" w:w="100"/>
              <w:bottom w:type="dxa" w:w="80"/>
              <w:right w:type="dxa" w:w="100"/>
            </w:tcMar>
          </w:tcPr>
          <w:p>
            <w:r>
              <w:rPr>
                <w:b w:val="false"/>
                <w:bCs w:val="false"/>
                <w:color w:val="000000"/>
                <w:sz w:val="20"/>
                <w:szCs w:val="20"/>
              </w:rPr>
              <w:t xml:space="preserve">Builds core proof points in Track A and Track B in parallel with Engineer 1, focused on the highest-value, highest-risk item first (the governed AI gateway).</w:t>
            </w:r>
          </w:p>
        </w:tc>
        <w:tc>
          <w:tcPr>
            <w:tcW w:type="dxa" w:w="1800"/>
            <w:tcMar>
              <w:top w:type="dxa" w:w="80"/>
              <w:left w:type="dxa" w:w="100"/>
              <w:bottom w:type="dxa" w:w="80"/>
              <w:right w:type="dxa" w:w="100"/>
            </w:tcMar>
          </w:tcPr>
          <w:p>
            <w:r>
              <w:rPr>
                <w:b w:val="false"/>
                <w:bCs w:val="false"/>
                <w:color w:val="000000"/>
                <w:sz w:val="20"/>
                <w:szCs w:val="20"/>
              </w:rPr>
              <w:t xml:space="preserve">Full-time, 6 months</w:t>
            </w:r>
          </w:p>
        </w:tc>
      </w:tr>
    </w:tbl>
    <w:p>
      <w:pPr>
        <w:spacing w:after="100" w:before="200"/>
      </w:pPr>
    </w:p>
    <w:p>
      <w:pPr>
        <w:pStyle w:val="ListParagraph"/>
        <w:numPr>
          <w:ilvl w:val="0"/>
          <w:numId w:val="2"/>
        </w:numPr>
        <w:spacing w:after="90"/>
      </w:pPr>
      <w:r>
        <w:rPr>
          <w:b/>
          <w:bCs/>
        </w:rPr>
        <w:t xml:space="preserve">Embedded, not siloed. </w:t>
      </w:r>
      <w:r>
        <w:t xml:space="preserve">Both AI engineers pair with Revelate's existing engineers and ship inside existing services — no parallel stack.</w:t>
      </w:r>
    </w:p>
    <w:p>
      <w:pPr>
        <w:pStyle w:val="ListParagraph"/>
        <w:numPr>
          <w:ilvl w:val="0"/>
          <w:numId w:val="2"/>
        </w:numPr>
        <w:spacing w:after="90"/>
      </w:pPr>
      <w:r>
        <w:rPr>
          <w:b/>
          <w:bCs/>
        </w:rPr>
        <w:t xml:space="preserve">Build and GTM in parallel. </w:t>
      </w:r>
      <w:r>
        <w:t xml:space="preserve">Jason's roadmap, PRD, and GTM work runs in lockstep with the build each week — the plan and the product inform each other rather than one waiting on the other, mirroring the thesis's own principle that build and go-to-market validate one another.</w:t>
      </w:r>
    </w:p>
    <w:p>
      <w:pPr>
        <w:pStyle w:val="ListParagraph"/>
        <w:numPr>
          <w:ilvl w:val="0"/>
          <w:numId w:val="2"/>
        </w:numPr>
        <w:spacing w:after="90"/>
      </w:pPr>
      <w:r>
        <w:rPr>
          <w:b/>
          <w:bCs/>
        </w:rPr>
        <w:t xml:space="preserve">Cadence. </w:t>
      </w:r>
      <w:r>
        <w:t xml:space="preserve">A standing weekly sync with Revelate leadership and existing engineering leads keeps the build aligned with the shipping platform and unblocks dependencies early.</w:t>
      </w:r>
    </w:p>
    <w:p>
      <w:pPr>
        <w:pStyle w:val="Heading1"/>
        <w:spacing w:after="160" w:before="360"/>
      </w:pPr>
      <w:r>
        <w:rPr>
          <w:b/>
          <w:bCs/>
          <w:color w:val="1F2A44"/>
        </w:rPr>
        <w:t xml:space="preserve">4. Scope of Work</w:t>
      </w:r>
    </w:p>
    <w:p>
      <w:pPr>
        <w:pStyle w:val="Heading2"/>
        <w:spacing w:after="120" w:before="260"/>
      </w:pPr>
      <w:r>
        <w:rPr>
          <w:b/>
          <w:bCs/>
          <w:color w:val="2E6E5E"/>
        </w:rPr>
        <w:t xml:space="preserve">4.1 Product build (AI Engineers)</w:t>
      </w:r>
    </w:p>
    <w:p>
      <w:pPr>
        <w:spacing w:after="160"/>
      </w:pPr>
      <w:r>
        <w:t xml:space="preserve">Scope is deliberately narrow: the smallest set of capabilities that proves the wedge, per the thesis's own Stage 1 definition.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1F2A44" w:val="clear"/>
            <w:tcMar>
              <w:top w:type="dxa" w:w="80"/>
              <w:left w:type="dxa" w:w="100"/>
              <w:bottom w:type="dxa" w:w="80"/>
              <w:right w:type="dxa" w:w="100"/>
            </w:tcMar>
          </w:tcPr>
          <w:p>
            <w:r>
              <w:rPr>
                <w:b/>
                <w:bCs/>
                <w:color w:val="FFFFFF"/>
                <w:sz w:val="20"/>
                <w:szCs w:val="20"/>
              </w:rPr>
              <w:t xml:space="preserve">Capability</w:t>
            </w:r>
          </w:p>
        </w:tc>
        <w:tc>
          <w:tcPr>
            <w:tcW w:type="dxa" w:w="4400"/>
            <w:shd w:fill="1F2A44" w:val="clear"/>
            <w:tcMar>
              <w:top w:type="dxa" w:w="80"/>
              <w:left w:type="dxa" w:w="100"/>
              <w:bottom w:type="dxa" w:w="80"/>
              <w:right w:type="dxa" w:w="100"/>
            </w:tcMar>
          </w:tcPr>
          <w:p>
            <w:r>
              <w:rPr>
                <w:b/>
                <w:bCs/>
                <w:color w:val="FFFFFF"/>
                <w:sz w:val="20"/>
                <w:szCs w:val="20"/>
              </w:rPr>
              <w:t xml:space="preserve">Executive problem it removes</w:t>
            </w:r>
          </w:p>
        </w:tc>
      </w:tr>
      <w:tr>
        <w:tc>
          <w:tcPr>
            <w:tcW w:type="dxa" w:w="4400"/>
            <w:tcMar>
              <w:top w:type="dxa" w:w="80"/>
              <w:left w:type="dxa" w:w="100"/>
              <w:bottom w:type="dxa" w:w="80"/>
              <w:right w:type="dxa" w:w="100"/>
            </w:tcMar>
          </w:tcPr>
          <w:p>
            <w:r>
              <w:rPr>
                <w:b w:val="false"/>
                <w:bCs w:val="false"/>
                <w:color w:val="000000"/>
                <w:sz w:val="20"/>
                <w:szCs w:val="20"/>
              </w:rPr>
              <w:t xml:space="preserve">Semantic layer (partner-first)</w:t>
            </w:r>
          </w:p>
        </w:tc>
        <w:tc>
          <w:tcPr>
            <w:tcW w:type="dxa" w:w="4400"/>
            <w:tcMar>
              <w:top w:type="dxa" w:w="80"/>
              <w:left w:type="dxa" w:w="100"/>
              <w:bottom w:type="dxa" w:w="80"/>
              <w:right w:type="dxa" w:w="100"/>
            </w:tcMar>
          </w:tcPr>
          <w:p>
            <w:r>
              <w:rPr>
                <w:b w:val="false"/>
                <w:bCs w:val="false"/>
                <w:color w:val="000000"/>
                <w:sz w:val="20"/>
                <w:szCs w:val="20"/>
              </w:rPr>
              <w:t xml:space="preserve">“Our AI keeps misreading what the data means.”</w:t>
            </w:r>
          </w:p>
        </w:tc>
      </w:tr>
      <w:tr>
        <w:tc>
          <w:tcPr>
            <w:tcW w:type="dxa" w:w="4400"/>
            <w:tcMar>
              <w:top w:type="dxa" w:w="80"/>
              <w:left w:type="dxa" w:w="100"/>
              <w:bottom w:type="dxa" w:w="80"/>
              <w:right w:type="dxa" w:w="100"/>
            </w:tcMar>
          </w:tcPr>
          <w:p>
            <w:r>
              <w:rPr>
                <w:b w:val="false"/>
                <w:bCs w:val="false"/>
                <w:color w:val="000000"/>
                <w:sz w:val="20"/>
                <w:szCs w:val="20"/>
              </w:rPr>
              <w:t xml:space="preserve">Governed AI gateway (MCP) — flagship proof point</w:t>
            </w:r>
          </w:p>
        </w:tc>
        <w:tc>
          <w:tcPr>
            <w:tcW w:type="dxa" w:w="4400"/>
            <w:tcMar>
              <w:top w:type="dxa" w:w="80"/>
              <w:left w:type="dxa" w:w="100"/>
              <w:bottom w:type="dxa" w:w="80"/>
              <w:right w:type="dxa" w:w="100"/>
            </w:tcMar>
          </w:tcPr>
          <w:p>
            <w:r>
              <w:rPr>
                <w:b w:val="false"/>
                <w:bCs w:val="false"/>
                <w:color w:val="000000"/>
                <w:sz w:val="20"/>
                <w:szCs w:val="20"/>
              </w:rPr>
              <w:t xml:space="preserve">“We can’t safely let AI touch production data.”</w:t>
            </w:r>
          </w:p>
        </w:tc>
      </w:tr>
      <w:tr>
        <w:tc>
          <w:tcPr>
            <w:tcW w:type="dxa" w:w="4400"/>
            <w:tcMar>
              <w:top w:type="dxa" w:w="80"/>
              <w:left w:type="dxa" w:w="100"/>
              <w:bottom w:type="dxa" w:w="80"/>
              <w:right w:type="dxa" w:w="100"/>
            </w:tcMar>
          </w:tcPr>
          <w:p>
            <w:r>
              <w:rPr>
                <w:b w:val="false"/>
                <w:bCs w:val="false"/>
                <w:color w:val="000000"/>
                <w:sz w:val="20"/>
                <w:szCs w:val="20"/>
              </w:rPr>
              <w:t xml:space="preserve">Telemetry foundation</w:t>
            </w:r>
          </w:p>
        </w:tc>
        <w:tc>
          <w:tcPr>
            <w:tcW w:type="dxa" w:w="4400"/>
            <w:tcMar>
              <w:top w:type="dxa" w:w="80"/>
              <w:left w:type="dxa" w:w="100"/>
              <w:bottom w:type="dxa" w:w="80"/>
              <w:right w:type="dxa" w:w="100"/>
            </w:tcMar>
          </w:tcPr>
          <w:p>
            <w:r>
              <w:rPr>
                <w:b w:val="false"/>
                <w:bCs w:val="false"/>
                <w:color w:val="000000"/>
                <w:sz w:val="20"/>
                <w:szCs w:val="20"/>
              </w:rPr>
              <w:t xml:space="preserve">“We have no idea what the AI actually did.”</w:t>
            </w:r>
          </w:p>
        </w:tc>
      </w:tr>
      <w:tr>
        <w:tc>
          <w:tcPr>
            <w:tcW w:type="dxa" w:w="4400"/>
            <w:tcMar>
              <w:top w:type="dxa" w:w="80"/>
              <w:left w:type="dxa" w:w="100"/>
              <w:bottom w:type="dxa" w:w="80"/>
              <w:right w:type="dxa" w:w="100"/>
            </w:tcMar>
          </w:tcPr>
          <w:p>
            <w:r>
              <w:rPr>
                <w:b w:val="false"/>
                <w:bCs w:val="false"/>
                <w:color w:val="000000"/>
                <w:sz w:val="20"/>
                <w:szCs w:val="20"/>
              </w:rPr>
              <w:t xml:space="preserve">AI access governance (seed)</w:t>
            </w:r>
          </w:p>
        </w:tc>
        <w:tc>
          <w:tcPr>
            <w:tcW w:type="dxa" w:w="4400"/>
            <w:tcMar>
              <w:top w:type="dxa" w:w="80"/>
              <w:left w:type="dxa" w:w="100"/>
              <w:bottom w:type="dxa" w:w="80"/>
              <w:right w:type="dxa" w:w="100"/>
            </w:tcMar>
          </w:tcPr>
          <w:p>
            <w:r>
              <w:rPr>
                <w:b w:val="false"/>
                <w:bCs w:val="false"/>
                <w:color w:val="000000"/>
                <w:sz w:val="20"/>
                <w:szCs w:val="20"/>
              </w:rPr>
              <w:t xml:space="preserve">“We don’t control which model touches what.”</w:t>
            </w:r>
          </w:p>
        </w:tc>
      </w:tr>
      <w:tr>
        <w:tc>
          <w:tcPr>
            <w:tcW w:type="dxa" w:w="4400"/>
            <w:tcMar>
              <w:top w:type="dxa" w:w="80"/>
              <w:left w:type="dxa" w:w="100"/>
              <w:bottom w:type="dxa" w:w="80"/>
              <w:right w:type="dxa" w:w="100"/>
            </w:tcMar>
          </w:tcPr>
          <w:p>
            <w:r>
              <w:rPr>
                <w:b w:val="false"/>
                <w:bCs w:val="false"/>
                <w:color w:val="000000"/>
                <w:sz w:val="20"/>
                <w:szCs w:val="20"/>
              </w:rPr>
              <w:t xml:space="preserve">Provenance &amp; audit records (seed)</w:t>
            </w:r>
          </w:p>
        </w:tc>
        <w:tc>
          <w:tcPr>
            <w:tcW w:type="dxa" w:w="4400"/>
            <w:tcMar>
              <w:top w:type="dxa" w:w="80"/>
              <w:left w:type="dxa" w:w="100"/>
              <w:bottom w:type="dxa" w:w="80"/>
              <w:right w:type="dxa" w:w="100"/>
            </w:tcMar>
          </w:tcPr>
          <w:p>
            <w:r>
              <w:rPr>
                <w:b w:val="false"/>
                <w:bCs w:val="false"/>
                <w:color w:val="000000"/>
                <w:sz w:val="20"/>
                <w:szCs w:val="20"/>
              </w:rPr>
              <w:t xml:space="preserve">“We can’t prove how an AI answer was produced.”</w:t>
            </w:r>
          </w:p>
        </w:tc>
      </w:tr>
    </w:tbl>
    <w:p>
      <w:pPr>
        <w:spacing w:before="200"/>
      </w:pPr>
    </w:p>
    <w:p>
      <w:pPr>
        <w:spacing w:after="160"/>
      </w:pPr>
      <w:r>
        <w:rPr>
          <w:i/>
          <w:iCs/>
          <w:color w:val="595959"/>
        </w:rPr>
        <w:t xml:space="preserve">Value proof: a design-partner demo in which an AI agent answers a question on the partner's governed data — entitlements enforced, full audit trail attached.</w:t>
      </w:r>
    </w:p>
    <w:p>
      <w:pPr>
        <w:pStyle w:val="Heading2"/>
        <w:spacing w:after="120" w:before="260"/>
      </w:pPr>
      <w:r>
        <w:rPr>
          <w:b/>
          <w:bCs/>
          <w:color w:val="2E6E5E"/>
        </w:rPr>
        <w:t xml:space="preserve">4.2 Strategy &amp; GTM build (Jason)</w:t>
      </w:r>
    </w:p>
    <w:p>
      <w:pPr>
        <w:pStyle w:val="ListParagraph"/>
        <w:numPr>
          <w:ilvl w:val="0"/>
          <w:numId w:val="2"/>
        </w:numPr>
        <w:spacing w:after="90"/>
      </w:pPr>
      <w:r>
        <w:rPr>
          <w:b/>
          <w:bCs/>
        </w:rPr>
        <w:t xml:space="preserve">Product roadmap. </w:t>
      </w:r>
      <w:r>
        <w:t xml:space="preserve">A multi-stage AI product roadmap, extending and detailing the thesis's three-stage plan.</w:t>
      </w:r>
    </w:p>
    <w:p>
      <w:pPr>
        <w:pStyle w:val="ListParagraph"/>
        <w:numPr>
          <w:ilvl w:val="0"/>
          <w:numId w:val="2"/>
        </w:numPr>
        <w:spacing w:after="90"/>
      </w:pPr>
      <w:r>
        <w:rPr>
          <w:b/>
          <w:bCs/>
        </w:rPr>
        <w:t xml:space="preserve">PRDs. </w:t>
      </w:r>
      <w:r>
        <w:t xml:space="preserve">A PRD for every capability in scope for this engagement, plus forward-looking PRDs for the Stage 2/3 capabilities that follow.</w:t>
      </w:r>
    </w:p>
    <w:p>
      <w:pPr>
        <w:pStyle w:val="ListParagraph"/>
        <w:numPr>
          <w:ilvl w:val="0"/>
          <w:numId w:val="2"/>
        </w:numPr>
        <w:spacing w:after="90"/>
      </w:pPr>
      <w:r>
        <w:rPr>
          <w:b/>
          <w:bCs/>
        </w:rPr>
        <w:t xml:space="preserve">Go-to-market plan. </w:t>
      </w:r>
      <w:r>
        <w:t xml:space="preserve">ICP definition, positioning and messaging, pricing and packaging hypothesis, design-partner target list and recruiting motion, and launch plan.</w:t>
      </w:r>
    </w:p>
    <w:p>
      <w:pPr>
        <w:pStyle w:val="ListParagraph"/>
        <w:numPr>
          <w:ilvl w:val="0"/>
          <w:numId w:val="2"/>
        </w:numPr>
        <w:spacing w:after="90"/>
      </w:pPr>
      <w:r>
        <w:rPr>
          <w:b/>
          <w:bCs/>
        </w:rPr>
        <w:t xml:space="preserve">Design-partner program. </w:t>
      </w:r>
      <w:r>
        <w:t xml:space="preserve">Recruit and manage 2–3 design partners in financial services and healthcare, the two lead verticals identified in the thesis.</w:t>
      </w:r>
    </w:p>
    <w:p>
      <w:pPr>
        <w:pStyle w:val="ListParagraph"/>
        <w:numPr>
          <w:ilvl w:val="0"/>
          <w:numId w:val="2"/>
        </w:numPr>
        <w:spacing w:after="90"/>
      </w:pPr>
      <w:r>
        <w:rPr>
          <w:b/>
          <w:bCs/>
        </w:rPr>
        <w:t xml:space="preserve">Fundraising narrative. </w:t>
      </w:r>
      <w:r>
        <w:t xml:space="preserve">An investor-facing narrative and data room built directly on the engagement's build and validation evidence.</w:t>
      </w:r>
    </w:p>
    <w:p>
      <w:pPr>
        <w:pStyle w:val="Heading1"/>
        <w:spacing w:after="160" w:before="360"/>
      </w:pPr>
      <w:r>
        <w:rPr>
          <w:b/>
          <w:bCs/>
          <w:color w:val="1F2A44"/>
        </w:rPr>
        <w:t xml:space="preserve">5. Timeline — 6 Months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2A44" w:val="clear"/>
            <w:tcMar>
              <w:top w:type="dxa" w:w="80"/>
              <w:left w:type="dxa" w:w="100"/>
              <w:bottom w:type="dxa" w:w="80"/>
              <w:right w:type="dxa" w:w="100"/>
            </w:tcMar>
          </w:tcPr>
          <w:p>
            <w:r>
              <w:rPr>
                <w:b/>
                <w:bCs/>
                <w:color w:val="FFFFFF"/>
                <w:sz w:val="20"/>
                <w:szCs w:val="20"/>
              </w:rPr>
              <w:t xml:space="preserve">Phase</w:t>
            </w:r>
          </w:p>
        </w:tc>
        <w:tc>
          <w:tcPr>
            <w:tcW w:type="dxa" w:w="6200"/>
            <w:shd w:fill="1F2A44" w:val="clear"/>
            <w:tcMar>
              <w:top w:type="dxa" w:w="80"/>
              <w:left w:type="dxa" w:w="100"/>
              <w:bottom w:type="dxa" w:w="80"/>
              <w:right w:type="dxa" w:w="100"/>
            </w:tcMar>
          </w:tcPr>
          <w:p>
            <w:r>
              <w:rPr>
                <w:b/>
                <w:bCs/>
                <w:color w:val="FFFFFF"/>
                <w:sz w:val="20"/>
                <w:szCs w:val="20"/>
              </w:rPr>
              <w:t xml:space="preserve">Focus</w:t>
            </w:r>
          </w:p>
        </w:tc>
      </w:tr>
      <w:tr>
        <w:tc>
          <w:tcPr>
            <w:tcW w:type="dxa" w:w="2600"/>
            <w:tcMar>
              <w:top w:type="dxa" w:w="80"/>
              <w:left w:type="dxa" w:w="100"/>
              <w:bottom w:type="dxa" w:w="80"/>
              <w:right w:type="dxa" w:w="100"/>
            </w:tcMar>
          </w:tcPr>
          <w:p>
            <w:r>
              <w:rPr>
                <w:b w:val="false"/>
                <w:bCs w:val="false"/>
                <w:color w:val="000000"/>
                <w:sz w:val="20"/>
                <w:szCs w:val="20"/>
              </w:rPr>
              <w:t xml:space="preserve">Months 1–2 — Foundation</w:t>
            </w:r>
          </w:p>
        </w:tc>
        <w:tc>
          <w:tcPr>
            <w:tcW w:type="dxa" w:w="6200"/>
            <w:tcMar>
              <w:top w:type="dxa" w:w="80"/>
              <w:left w:type="dxa" w:w="100"/>
              <w:bottom w:type="dxa" w:w="80"/>
              <w:right w:type="dxa" w:w="100"/>
            </w:tcMar>
          </w:tcPr>
          <w:p>
            <w:r>
              <w:rPr>
                <w:b w:val="false"/>
                <w:bCs w:val="false"/>
                <w:color w:val="000000"/>
                <w:sz w:val="20"/>
                <w:szCs w:val="20"/>
              </w:rPr>
              <w:t xml:space="preserve">Stand up the semantic layer and gateway skeleton inside Revelate's existing codebase. Finalize PRDs for all Stage 1 capabilities. Recruit design partners. Ship GTM plan v1.</w:t>
            </w:r>
          </w:p>
        </w:tc>
      </w:tr>
      <w:tr>
        <w:tc>
          <w:tcPr>
            <w:tcW w:type="dxa" w:w="2600"/>
            <w:tcMar>
              <w:top w:type="dxa" w:w="80"/>
              <w:left w:type="dxa" w:w="100"/>
              <w:bottom w:type="dxa" w:w="80"/>
              <w:right w:type="dxa" w:w="100"/>
            </w:tcMar>
          </w:tcPr>
          <w:p>
            <w:r>
              <w:rPr>
                <w:b w:val="false"/>
                <w:bCs w:val="false"/>
                <w:color w:val="000000"/>
                <w:sz w:val="20"/>
                <w:szCs w:val="20"/>
              </w:rPr>
              <w:t xml:space="preserve">Months 3–4 — Build &amp; Land</w:t>
            </w:r>
          </w:p>
        </w:tc>
        <w:tc>
          <w:tcPr>
            <w:tcW w:type="dxa" w:w="6200"/>
            <w:tcMar>
              <w:top w:type="dxa" w:w="80"/>
              <w:left w:type="dxa" w:w="100"/>
              <w:bottom w:type="dxa" w:w="80"/>
              <w:right w:type="dxa" w:w="100"/>
            </w:tcMar>
          </w:tcPr>
          <w:p>
            <w:r>
              <w:rPr>
                <w:b w:val="false"/>
                <w:bCs w:val="false"/>
                <w:color w:val="000000"/>
                <w:sz w:val="20"/>
                <w:szCs w:val="20"/>
              </w:rPr>
              <w:t xml:space="preserve">Ship the governed AI gateway, telemetry foundation, and AI access governance seed. Onboard 2–3 design partners into active use. Begin provenance &amp; audit records.</w:t>
            </w:r>
          </w:p>
        </w:tc>
      </w:tr>
      <w:tr>
        <w:tc>
          <w:tcPr>
            <w:tcW w:type="dxa" w:w="2600"/>
            <w:tcMar>
              <w:top w:type="dxa" w:w="80"/>
              <w:left w:type="dxa" w:w="100"/>
              <w:bottom w:type="dxa" w:w="80"/>
              <w:right w:type="dxa" w:w="100"/>
            </w:tcMar>
          </w:tcPr>
          <w:p>
            <w:r>
              <w:rPr>
                <w:b w:val="false"/>
                <w:bCs w:val="false"/>
                <w:color w:val="000000"/>
                <w:sz w:val="20"/>
                <w:szCs w:val="20"/>
              </w:rPr>
              <w:t xml:space="preserve">Months 5–6 — Prove &amp; Package</w:t>
            </w:r>
          </w:p>
        </w:tc>
        <w:tc>
          <w:tcPr>
            <w:tcW w:type="dxa" w:w="6200"/>
            <w:tcMar>
              <w:top w:type="dxa" w:w="80"/>
              <w:left w:type="dxa" w:w="100"/>
              <w:bottom w:type="dxa" w:w="80"/>
              <w:right w:type="dxa" w:w="100"/>
            </w:tcMar>
          </w:tcPr>
          <w:p>
            <w:r>
              <w:rPr>
                <w:b w:val="false"/>
                <w:bCs w:val="false"/>
                <w:color w:val="000000"/>
                <w:sz w:val="20"/>
                <w:szCs w:val="20"/>
              </w:rPr>
              <w:t xml:space="preserve">Complete the audit-trail proof point. Document willingness-to-pay evidence from design partners. Finalize PRDs for Stage 2. Assemble the fundraising data room and investor narrative.</w:t>
            </w:r>
          </w:p>
        </w:tc>
      </w:tr>
    </w:tbl>
    <w:p>
      <w:pPr>
        <w:pStyle w:val="Heading1"/>
        <w:spacing w:after="160" w:before="360"/>
      </w:pPr>
      <w:r>
        <w:rPr>
          <w:b/>
          <w:bCs/>
          <w:color w:val="1F2A44"/>
        </w:rPr>
        <w:t xml:space="preserve">6. Success Criteria — Exit Gate</w:t>
      </w:r>
    </w:p>
    <w:p>
      <w:pPr>
        <w:spacing w:after="160"/>
      </w:pPr>
      <w:r>
        <w:t xml:space="preserve">The engagement is measured against the same evidence bar the thesis sets for unlocking the next stage of investment ("Gate 1"):</w:t>
      </w:r>
    </w:p>
    <w:p>
      <w:pPr>
        <w:pStyle w:val="ListParagraph"/>
        <w:numPr>
          <w:ilvl w:val="0"/>
          <w:numId w:val="2"/>
        </w:numPr>
        <w:spacing w:after="90"/>
      </w:pPr>
      <w:r>
        <w:t xml:space="preserve">2–3 signed design partners actively using governed AI access, with documented willingness to pay.</w:t>
      </w:r>
    </w:p>
    <w:p>
      <w:pPr>
        <w:pStyle w:val="ListParagraph"/>
        <w:numPr>
          <w:ilvl w:val="0"/>
          <w:numId w:val="2"/>
        </w:numPr>
        <w:spacing w:after="90"/>
      </w:pPr>
      <w:r>
        <w:t xml:space="preserve">A working demo: an AI agent answers on governed data, entitlements enforced, full audit trail attached.</w:t>
      </w:r>
    </w:p>
    <w:p>
      <w:pPr>
        <w:pStyle w:val="ListParagraph"/>
        <w:numPr>
          <w:ilvl w:val="0"/>
          <w:numId w:val="2"/>
        </w:numPr>
        <w:spacing w:after="90"/>
      </w:pPr>
      <w:r>
        <w:t xml:space="preserve">A complete PRD set for every Stage 1 capability, plus drafts for Stage 2 and 3.</w:t>
      </w:r>
    </w:p>
    <w:p>
      <w:pPr>
        <w:pStyle w:val="ListParagraph"/>
        <w:numPr>
          <w:ilvl w:val="0"/>
          <w:numId w:val="2"/>
        </w:numPr>
        <w:spacing w:after="90"/>
      </w:pPr>
      <w:r>
        <w:t xml:space="preserve">A complete go-to-market plan and an investor narrative ready to support a capital raise.</w:t>
      </w:r>
    </w:p>
    <w:p>
      <w:pPr>
        <w:pStyle w:val="Heading1"/>
        <w:spacing w:after="160" w:before="360"/>
      </w:pPr>
      <w:r>
        <w:rPr>
          <w:b/>
          <w:bCs/>
          <w:color w:val="1F2A44"/>
        </w:rPr>
        <w:t xml:space="preserve">7. Commercial Terms</w:t>
      </w:r>
    </w:p>
    <w:p>
      <w:pPr>
        <w:spacing w:after="160"/>
      </w:pPr>
      <w:r>
        <w:rPr>
          <w:i/>
          <w:iCs/>
          <w:color w:val="595959"/>
        </w:rPr>
        <w:t xml:space="preserve">All three roles are Revelate employees, not contractors, and are compensated on salary. Salary figures below are base salary only — no payroll burden (taxes, benefits, etc.) is included — prorated to the 6-month engagement term. Junior and Senior AI Engineer figures are shown as a range pending final leveling.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600"/>
      </w:tblGrid>
      <w:tr>
        <w:trPr>
          <w:tblHeader/>
        </w:trPr>
        <w:tc>
          <w:tcPr>
            <w:tcW w:type="dxa" w:w="4400"/>
            <w:shd w:fill="1F2A44" w:val="clear"/>
            <w:tcMar>
              <w:top w:type="dxa" w:w="80"/>
              <w:left w:type="dxa" w:w="100"/>
              <w:bottom w:type="dxa" w:w="80"/>
              <w:right w:type="dxa" w:w="100"/>
            </w:tcMar>
          </w:tcPr>
          <w:p>
            <w:r>
              <w:rPr>
                <w:b/>
                <w:bCs/>
                <w:color w:val="FFFFFF"/>
                <w:sz w:val="20"/>
                <w:szCs w:val="20"/>
              </w:rPr>
              <w:t xml:space="preserve">Role</w:t>
            </w:r>
          </w:p>
        </w:tc>
        <w:tc>
          <w:tcPr>
            <w:tcW w:type="dxa" w:w="2600"/>
            <w:shd w:fill="1F2A44" w:val="clear"/>
            <w:tcMar>
              <w:top w:type="dxa" w:w="80"/>
              <w:left w:type="dxa" w:w="100"/>
              <w:bottom w:type="dxa" w:w="80"/>
              <w:right w:type="dxa" w:w="100"/>
            </w:tcMar>
          </w:tcPr>
          <w:p>
            <w:r>
              <w:rPr>
                <w:b/>
                <w:bCs/>
                <w:color w:val="FFFFFF"/>
                <w:sz w:val="20"/>
                <w:szCs w:val="20"/>
              </w:rPr>
              <w:t xml:space="preserve">Annual salary range</w:t>
            </w:r>
          </w:p>
        </w:tc>
        <w:tc>
          <w:tcPr>
            <w:tcW w:type="dxa" w:w="2600"/>
            <w:shd w:fill="1F2A44" w:val="clear"/>
            <w:tcMar>
              <w:top w:type="dxa" w:w="80"/>
              <w:left w:type="dxa" w:w="100"/>
              <w:bottom w:type="dxa" w:w="80"/>
              <w:right w:type="dxa" w:w="100"/>
            </w:tcMar>
          </w:tcPr>
          <w:p>
            <w:r>
              <w:rPr>
                <w:b/>
                <w:bCs/>
                <w:color w:val="FFFFFF"/>
                <w:sz w:val="20"/>
                <w:szCs w:val="20"/>
              </w:rPr>
              <w:t xml:space="preserve">6-month cost range</w:t>
            </w:r>
          </w:p>
        </w:tc>
      </w:tr>
      <w:tr>
        <w:tc>
          <w:tcPr>
            <w:tcW w:type="dxa" w:w="4400"/>
            <w:tcMar>
              <w:top w:type="dxa" w:w="80"/>
              <w:left w:type="dxa" w:w="100"/>
              <w:bottom w:type="dxa" w:w="80"/>
              <w:right w:type="dxa" w:w="100"/>
            </w:tcMar>
          </w:tcPr>
          <w:p>
            <w:r>
              <w:rPr>
                <w:b w:val="false"/>
                <w:bCs w:val="false"/>
                <w:color w:val="000000"/>
                <w:sz w:val="20"/>
                <w:szCs w:val="20"/>
              </w:rPr>
              <w:t xml:space="preserve">AI Engineer — Junior</w:t>
            </w:r>
          </w:p>
        </w:tc>
        <w:tc>
          <w:tcPr>
            <w:tcW w:type="dxa" w:w="2600"/>
            <w:tcMar>
              <w:top w:type="dxa" w:w="80"/>
              <w:left w:type="dxa" w:w="100"/>
              <w:bottom w:type="dxa" w:w="80"/>
              <w:right w:type="dxa" w:w="100"/>
            </w:tcMar>
          </w:tcPr>
          <w:p>
            <w:r>
              <w:rPr>
                <w:b w:val="false"/>
                <w:bCs w:val="false"/>
                <w:color w:val="000000"/>
                <w:sz w:val="20"/>
                <w:szCs w:val="20"/>
              </w:rPr>
              <w:t xml:space="preserve">$80,000 – $120,000</w:t>
            </w:r>
          </w:p>
        </w:tc>
        <w:tc>
          <w:tcPr>
            <w:tcW w:type="dxa" w:w="2600"/>
            <w:tcMar>
              <w:top w:type="dxa" w:w="80"/>
              <w:left w:type="dxa" w:w="100"/>
              <w:bottom w:type="dxa" w:w="80"/>
              <w:right w:type="dxa" w:w="100"/>
            </w:tcMar>
          </w:tcPr>
          <w:p>
            <w:r>
              <w:rPr>
                <w:b w:val="false"/>
                <w:bCs w:val="false"/>
                <w:color w:val="000000"/>
                <w:sz w:val="20"/>
                <w:szCs w:val="20"/>
              </w:rPr>
              <w:t xml:space="preserve">$40,000 – $60,000</w:t>
            </w:r>
          </w:p>
        </w:tc>
      </w:tr>
      <w:tr>
        <w:tc>
          <w:tcPr>
            <w:tcW w:type="dxa" w:w="4400"/>
            <w:tcMar>
              <w:top w:type="dxa" w:w="80"/>
              <w:left w:type="dxa" w:w="100"/>
              <w:bottom w:type="dxa" w:w="80"/>
              <w:right w:type="dxa" w:w="100"/>
            </w:tcMar>
          </w:tcPr>
          <w:p>
            <w:r>
              <w:rPr>
                <w:b w:val="false"/>
                <w:bCs w:val="false"/>
                <w:color w:val="000000"/>
                <w:sz w:val="20"/>
                <w:szCs w:val="20"/>
              </w:rPr>
              <w:t xml:space="preserve">AI Engineer — Senior</w:t>
            </w:r>
          </w:p>
        </w:tc>
        <w:tc>
          <w:tcPr>
            <w:tcW w:type="dxa" w:w="2600"/>
            <w:tcMar>
              <w:top w:type="dxa" w:w="80"/>
              <w:left w:type="dxa" w:w="100"/>
              <w:bottom w:type="dxa" w:w="80"/>
              <w:right w:type="dxa" w:w="100"/>
            </w:tcMar>
          </w:tcPr>
          <w:p>
            <w:r>
              <w:rPr>
                <w:b w:val="false"/>
                <w:bCs w:val="false"/>
                <w:color w:val="000000"/>
                <w:sz w:val="20"/>
                <w:szCs w:val="20"/>
              </w:rPr>
              <w:t xml:space="preserve">$150,000 – $200,000</w:t>
            </w:r>
          </w:p>
        </w:tc>
        <w:tc>
          <w:tcPr>
            <w:tcW w:type="dxa" w:w="2600"/>
            <w:tcMar>
              <w:top w:type="dxa" w:w="80"/>
              <w:left w:type="dxa" w:w="100"/>
              <w:bottom w:type="dxa" w:w="80"/>
              <w:right w:type="dxa" w:w="100"/>
            </w:tcMar>
          </w:tcPr>
          <w:p>
            <w:r>
              <w:rPr>
                <w:b w:val="false"/>
                <w:bCs w:val="false"/>
                <w:color w:val="000000"/>
                <w:sz w:val="20"/>
                <w:szCs w:val="20"/>
              </w:rPr>
              <w:t xml:space="preserve">$75,000 – $100,000</w:t>
            </w:r>
          </w:p>
        </w:tc>
      </w:tr>
      <w:tr>
        <w:tc>
          <w:tcPr>
            <w:tcW w:type="dxa" w:w="4400"/>
            <w:tcMar>
              <w:top w:type="dxa" w:w="80"/>
              <w:left w:type="dxa" w:w="100"/>
              <w:bottom w:type="dxa" w:w="80"/>
              <w:right w:type="dxa" w:w="100"/>
            </w:tcMar>
          </w:tcPr>
          <w:p>
            <w:r>
              <w:rPr>
                <w:b w:val="false"/>
                <w:bCs w:val="false"/>
                <w:color w:val="000000"/>
                <w:sz w:val="20"/>
                <w:szCs w:val="20"/>
              </w:rPr>
              <w:t xml:space="preserve">Jason — AI Product &amp; GTM Lead</w:t>
            </w:r>
          </w:p>
        </w:tc>
        <w:tc>
          <w:tcPr>
            <w:tcW w:type="dxa" w:w="2600"/>
            <w:tcMar>
              <w:top w:type="dxa" w:w="80"/>
              <w:left w:type="dxa" w:w="100"/>
              <w:bottom w:type="dxa" w:w="80"/>
              <w:right w:type="dxa" w:w="100"/>
            </w:tcMar>
          </w:tcPr>
          <w:p>
            <w:r>
              <w:rPr>
                <w:b w:val="false"/>
                <w:bCs w:val="false"/>
                <w:color w:val="000000"/>
                <w:sz w:val="20"/>
                <w:szCs w:val="20"/>
              </w:rPr>
              <w:t xml:space="preserve">$300,000</w:t>
            </w:r>
          </w:p>
        </w:tc>
        <w:tc>
          <w:tcPr>
            <w:tcW w:type="dxa" w:w="2600"/>
            <w:tcMar>
              <w:top w:type="dxa" w:w="80"/>
              <w:left w:type="dxa" w:w="100"/>
              <w:bottom w:type="dxa" w:w="80"/>
              <w:right w:type="dxa" w:w="100"/>
            </w:tcMar>
          </w:tcPr>
          <w:p>
            <w:r>
              <w:rPr>
                <w:b w:val="false"/>
                <w:bCs w:val="false"/>
                <w:color w:val="000000"/>
                <w:sz w:val="20"/>
                <w:szCs w:val="20"/>
              </w:rPr>
              <w:t xml:space="preserve">$150,000</w:t>
            </w:r>
          </w:p>
        </w:tc>
      </w:tr>
    </w:tbl>
    <w:p>
      <w:pPr>
        <w:spacing w:after="60" w:before="160"/>
      </w:pPr>
      <w:r>
        <w:rPr>
          <w:i/>
          <w:iCs/>
          <w:color w:val="595959"/>
        </w:rPr>
        <w:t xml:space="preserve">Jason's $300,000 reflects a substantial discount to current market compensation.</w:t>
      </w:r>
    </w:p>
    <w:p>
      <w:pPr>
        <w:spacing w:after="100" w:before="200"/>
      </w:pPr>
      <w:r>
        <w:rPr>
          <w:b/>
          <w:bCs/>
        </w:rPr>
        <w:t xml:space="preserve">Salary subtotal (6 months): </w:t>
      </w:r>
      <w:r>
        <w:t xml:space="preserve">$265,000 – $310,000</w:t>
      </w:r>
    </w:p>
    <w:p>
      <w:pPr>
        <w:spacing w:after="100"/>
      </w:pPr>
      <w:r>
        <w:rPr>
          <w:b/>
          <w:bCs/>
        </w:rPr>
        <w:t xml:space="preserve">AI coding tool licenses (team total): </w:t>
      </w:r>
      <w:r>
        <w:t xml:space="preserve">$1,200/month × 6 = $7,200</w:t>
      </w:r>
    </w:p>
    <w:p>
      <w:pPr>
        <w:spacing w:after="100"/>
      </w:pPr>
      <w:r>
        <w:rPr>
          <w:b/>
          <w:bCs/>
        </w:rPr>
        <w:t xml:space="preserve">Model training compute: </w:t>
      </w:r>
      <w:r>
        <w:t xml:space="preserve">$2,000/month, Months 3–6 (4 months) = $8,000</w:t>
      </w:r>
    </w:p>
    <w:p>
      <w:pPr>
        <w:spacing w:after="100"/>
      </w:pPr>
      <w:r>
        <w:rPr>
          <w:b/>
          <w:bCs/>
        </w:rPr>
        <w:t xml:space="preserve">Equity &amp; value-generation compensation: </w:t>
      </w:r>
      <w:r>
        <w:rPr>
          <w:i/>
          <w:iCs/>
          <w:color w:val="595959"/>
        </w:rPr>
        <w:t xml:space="preserve">to be discussed — not reflected in the cash total below.</w:t>
      </w:r>
    </w:p>
    <w:p>
      <w:pPr>
        <w:spacing w:after="160" w:before="100"/>
      </w:pPr>
      <w:r>
        <w:rPr>
          <w:b/>
          <w:bCs/>
        </w:rPr>
        <w:t xml:space="preserve">Total 6-month cash cost: </w:t>
      </w:r>
      <w:r>
        <w:rPr>
          <w:b/>
          <w:bCs/>
        </w:rPr>
        <w:t xml:space="preserve">$280,200 – $325,200</w:t>
      </w:r>
    </w:p>
    <w:p>
      <w:pPr>
        <w:pStyle w:val="Heading1"/>
        <w:spacing w:after="160" w:before="360"/>
      </w:pPr>
      <w:r>
        <w:rPr>
          <w:b/>
          <w:bCs/>
          <w:color w:val="1F2A44"/>
        </w:rPr>
        <w:t xml:space="preserve">8. Risks &amp; Mitigations</w:t>
      </w:r>
    </w:p>
    <w:p>
      <w:pPr>
        <w:pStyle w:val="ListParagraph"/>
        <w:numPr>
          <w:ilvl w:val="0"/>
          <w:numId w:val="2"/>
        </w:numPr>
        <w:spacing w:after="90"/>
      </w:pPr>
      <w:r>
        <w:rPr>
          <w:b/>
          <w:bCs/>
        </w:rPr>
        <w:t xml:space="preserve">Capacity. </w:t>
      </w:r>
      <w:r>
        <w:t xml:space="preserve">Scope exceeds a 3-person team in 6 months. Mitigation: strict Stage 1 framing, with A4–A6 and B3–B5 explicitly deferred to Stage 2/3.</w:t>
      </w:r>
    </w:p>
    <w:p>
      <w:pPr>
        <w:pStyle w:val="ListParagraph"/>
        <w:numPr>
          <w:ilvl w:val="0"/>
          <w:numId w:val="2"/>
        </w:numPr>
        <w:spacing w:after="90"/>
      </w:pPr>
      <w:r>
        <w:rPr>
          <w:b/>
          <w:bCs/>
        </w:rPr>
        <w:t xml:space="preserve">Buyer education. </w:t>
      </w:r>
      <w:r>
        <w:t xml:space="preserve">Design partners need to be convinced to pay for governance, not just chat. Mitigation: anchor to existing governance language and forcing functions; start recruiting in Month 1, in parallel with the build.</w:t>
      </w:r>
    </w:p>
    <w:p>
      <w:pPr>
        <w:pStyle w:val="ListParagraph"/>
        <w:numPr>
          <w:ilvl w:val="0"/>
          <w:numId w:val="2"/>
        </w:numPr>
        <w:spacing w:after="90"/>
      </w:pPr>
      <w:r>
        <w:rPr>
          <w:b/>
          <w:bCs/>
        </w:rPr>
        <w:t xml:space="preserve">Dependency on existing team. </w:t>
      </w:r>
      <w:r>
        <w:t xml:space="preserve">Engineers' output depends on access to Revelate's existing codebase, systems, and people. Mitigation: embedded working model, named Revelate points of contact, and a weekly sync from day one.</w:t>
      </w:r>
    </w:p>
    <w:p>
      <w:pPr>
        <w:pStyle w:val="ListParagraph"/>
        <w:numPr>
          <w:ilvl w:val="0"/>
          <w:numId w:val="2"/>
        </w:numPr>
        <w:spacing w:after="90"/>
      </w:pPr>
      <w:r>
        <w:rPr>
          <w:b/>
          <w:bCs/>
        </w:rPr>
        <w:t xml:space="preserve">Build/GTM misalignment. </w:t>
      </w:r>
      <w:r>
        <w:t xml:space="preserve">A go-to-market plan and PRDs delivered without a working proof point are just documents. Mitigation: Jason's GTM/PRD track and the engineers' build track are sequenced to inform each other weekly, not run independently.</w:t>
      </w:r>
    </w:p>
    <w:p>
      <w:pPr>
        <w:pStyle w:val="Heading1"/>
        <w:spacing w:after="160" w:before="360"/>
      </w:pPr>
      <w:r>
        <w:rPr>
          <w:b/>
          <w:bCs/>
          <w:color w:val="1F2A44"/>
        </w:rPr>
        <w:t xml:space="preserve">9. Next Steps</w:t>
      </w:r>
    </w:p>
    <w:p>
      <w:pPr>
        <w:pStyle w:val="ListParagraph"/>
        <w:numPr>
          <w:ilvl w:val="0"/>
          <w:numId w:val="2"/>
        </w:numPr>
        <w:spacing w:after="90"/>
      </w:pPr>
      <w:r>
        <w:t xml:space="preserve">Confirm engagement start date and finalize commercial terms.</w:t>
      </w:r>
    </w:p>
    <w:p>
      <w:pPr>
        <w:pStyle w:val="ListParagraph"/>
        <w:numPr>
          <w:ilvl w:val="0"/>
          <w:numId w:val="2"/>
        </w:numPr>
        <w:spacing w:after="90"/>
      </w:pPr>
      <w:r>
        <w:t xml:space="preserve">Approve engineer hiring or contracting for the two AI engineer roles.</w:t>
      </w:r>
    </w:p>
    <w:p>
      <w:pPr>
        <w:pStyle w:val="ListParagraph"/>
        <w:numPr>
          <w:ilvl w:val="0"/>
          <w:numId w:val="2"/>
        </w:numPr>
        <w:spacing w:after="90"/>
      </w:pPr>
      <w:r>
        <w:t xml:space="preserve">Identify Revelate engineering points of contact for embedding.</w:t>
      </w:r>
    </w:p>
    <w:p>
      <w:pPr>
        <w:pStyle w:val="ListParagraph"/>
        <w:numPr>
          <w:ilvl w:val="0"/>
          <w:numId w:val="2"/>
        </w:numPr>
        <w:spacing w:after="90"/>
      </w:pPr>
      <w:r>
        <w:t xml:space="preserve">Confirm the initial design-partner target list across financial services and healthcare.</w:t>
      </w:r>
    </w:p>
    <w:p>
      <w:pPr>
        <w:pBdr>
          <w:bottom w:val="single" w:color="CCCCCC" w:sz="6" w:space="4"/>
        </w:pBdr>
        <w:spacing w:after="200"/>
      </w:pPr>
    </w:p>
    <w:p>
      <w:pPr>
        <w:spacing w:after="160"/>
      </w:pPr>
      <w:r>
        <w:rPr>
          <w:i/>
          <w:iCs/>
          <w:color w:val="595959"/>
        </w:rPr>
        <w:t xml:space="preserve">This proposal operationalizes the thesis already shared with Revelate leadership. It is scoped deliberately: prove the wedge with a small, embedded team; let validated demand and revenue — not headcount added ahead of proof — fund everything that follows.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2026-07-10T13:00:35.116Z</dcterms:created>
  <dcterms:modified xsi:type="dcterms:W3CDTF">2026-07-10T13:00:35.116Z</dcterms:modified>
</cp:coreProperties>
</file>

<file path=docProps/custom.xml><?xml version="1.0" encoding="utf-8"?>
<Properties xmlns="http://schemas.openxmlformats.org/officeDocument/2006/custom-properties" xmlns:vt="http://schemas.openxmlformats.org/officeDocument/2006/docPropsVTypes"/>
</file>