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009A5C"/>
          <w:sz w:val="30"/>
          <w:szCs w:val="30"/>
        </w:rPr>
        <w:t xml:space="preserve">Revelate.co</w:t>
      </w:r>
    </w:p>
    <w:p>
      <w:pPr>
        <w:spacing w:after="0" w:before="260"/>
      </w:pPr>
      <w:r>
        <w:rPr>
          <w:b/>
          <w:bCs/>
          <w:color w:val="1F2937"/>
          <w:sz w:val="60"/>
          <w:szCs w:val="60"/>
        </w:rPr>
        <w:t xml:space="preserve">AI Governance Overlay</w:t>
      </w:r>
    </w:p>
    <w:p>
      <w:pPr>
        <w:spacing w:after="0" w:before="20"/>
      </w:pPr>
      <w:r>
        <w:rPr>
          <w:b/>
          <w:bCs/>
          <w:color w:val="1F2937"/>
          <w:sz w:val="40"/>
          <w:szCs w:val="40"/>
        </w:rPr>
        <w:t xml:space="preserve">Build &amp; Go-to-Market Roadmap</w:t>
      </w:r>
    </w:p>
    <w:p>
      <w:pPr>
        <w:spacing w:after="0" w:before="260"/>
      </w:pPr>
      <w:r>
        <w:rPr>
          <w:color w:val="6B7280"/>
          <w:sz w:val="26"/>
          <w:szCs w:val="26"/>
        </w:rPr>
        <w:t xml:space="preserve">Extending the governed data platform into enterprise AI governance</w:t>
      </w:r>
    </w:p>
    <w:p>
      <w:pPr>
        <w:spacing w:after="0" w:before="40"/>
      </w:pPr>
      <w:r>
        <w:rPr>
          <w:color w:val="6B7280"/>
          <w:sz w:val="24"/>
          <w:szCs w:val="24"/>
        </w:rPr>
        <w:t xml:space="preserve">An execution plan for Revelate leadership</w:t>
      </w:r>
    </w:p>
    <w:p>
      <w:pPr>
        <w:spacing w:after="0" w:before="520"/>
      </w:pPr>
      <w:r>
        <w:rPr>
          <w:b/>
          <w:bCs/>
          <w:color w:val="1F2937"/>
          <w:sz w:val="24"/>
          <w:szCs w:val="24"/>
        </w:rPr>
        <w:t xml:space="preserve">July 2026</w:t>
      </w:r>
    </w:p>
    <w:p>
      <w:pPr>
        <w:spacing w:after="0" w:before="20"/>
      </w:pPr>
      <w:r>
        <w:rPr>
          <w:color w:val="6B7280"/>
          <w:sz w:val="22"/>
          <w:szCs w:val="22"/>
        </w:rPr>
        <w:t xml:space="preserve">Companion to the Strategic Concept Proposal (V2)</w:t>
      </w:r>
    </w:p>
    <w:p>
      <w:pPr>
        <w:spacing w:after="0" w:before="120"/>
      </w:pPr>
      <w:r>
        <w:rPr>
          <w:b/>
          <w:bCs/>
          <w:color w:val="009A5C"/>
          <w:sz w:val="22"/>
          <w:szCs w:val="22"/>
        </w:rPr>
        <w:t xml:space="preserve">DRAFT — For Discussion Purposes Only</w:t>
      </w:r>
    </w:p>
    <w:p>
      <w:r>
        <w:br w:type="page"/>
      </w:r>
    </w:p>
    <w:p>
      <w:pPr>
        <w:pStyle w:val="Heading1"/>
      </w:pPr>
      <w:r>
        <w:t xml:space="preserve">Executive Summary</w:t>
      </w:r>
    </w:p>
    <w:p>
      <w:pPr>
        <w:spacing w:after="150" w:before="60"/>
      </w:pPr>
      <w:r>
        <w:rPr>
          <w:color w:val="1F2937"/>
          <w:sz w:val="22"/>
          <w:szCs w:val="22"/>
        </w:rPr>
        <w:t xml:space="preserve">Revelate’s existing strength is a governed, multi-tenant, cross-cloud data platform: entitlements, RBAC, catalogue, and lineage. This plan describes how we extend that same engine into the fastest-growing governance need in the enterprise — AI governance — and how we sequence the build and the go-to-market so that value is proven early and scale is funded by validated demand rather than by hope.</w:t>
      </w:r>
    </w:p>
    <w:p>
      <w:pPr>
        <w:spacing w:after="150" w:before="60"/>
      </w:pPr>
      <w:r>
        <w:rPr>
          <w:color w:val="1F2937"/>
          <w:sz w:val="22"/>
          <w:szCs w:val="22"/>
        </w:rPr>
        <w:t xml:space="preserve">The central correction that shapes everything below: the AI-governance overlay depends on AI-platform capabilities the product does not have yet. We must first build the V2 platform layers (semantic access, a governed AI gateway, telemetry, interrogation, reliability) into the product, and we must design the governance hooks into those layers as we build them rather than bolting them on afterward. Governance retrofitted is governance no auditor will trust.</w:t>
      </w:r>
    </w:p>
    <w:p>
      <w:pPr>
        <w:spacing w:after="150" w:before="60"/>
      </w:pPr>
      <w:r>
        <w:rPr>
          <w:color w:val="1F2937"/>
          <w:sz w:val="22"/>
          <w:szCs w:val="22"/>
        </w:rPr>
        <w:t xml:space="preserve">We therefore stage the work into three dependency-ordered stages over roughly 18–24 months, with both tracks — platform (Track A) and governance overlay (Track B) — emerging together. Each stage is anchored to a concrete value proof point and a matching go-to-market motion, so we are never building in the dark. Effort is sized in t-shirts mapped to engineer-weeks against today’s team of five engineers.</w:t>
      </w:r>
    </w:p>
    <w:p>
      <w:pPr>
        <w:spacing w:after="150" w:before="60"/>
      </w:pPr>
      <w:r>
        <w:rPr>
          <w:b/>
          <w:bCs/>
          <w:i w:val="false"/>
          <w:iCs w:val="false"/>
          <w:color w:val="1F2937"/>
          <w:sz w:val="22"/>
          <w:szCs w:val="22"/>
        </w:rPr>
        <w:t xml:space="preserve">One explicit goal of the staging is a self-funding growth loop: </w:t>
      </w:r>
      <w:r>
        <w:rPr>
          <w:b w:val="false"/>
          <w:bCs w:val="false"/>
          <w:i w:val="false"/>
          <w:iCs w:val="false"/>
          <w:color w:val="1F2937"/>
          <w:sz w:val="22"/>
          <w:szCs w:val="22"/>
        </w:rPr>
        <w:t xml:space="preserve">early market validation and the incremental revenue it produces are what unlock a small number of additional engineers to go faster. Those resource additions come only with validation and revenue — never ahead of them. This protects runway and reinforces the lean-team story from the V2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9A5C" w:sz="18"/>
              <w:bottom w:val="single" w:color="D1D5DB" w:sz="1"/>
              <w:right w:val="single" w:color="D1D5DB" w:sz="1"/>
            </w:tcBorders>
            <w:shd w:fill="ECFDF5" w:val="clear"/>
            <w:tcMar>
              <w:top w:type="dxa" w:w="120"/>
              <w:left w:type="dxa" w:w="200"/>
              <w:bottom w:type="dxa" w:w="120"/>
              <w:right w:type="dxa" w:w="200"/>
            </w:tcMar>
          </w:tcPr>
          <w:p>
            <w:pPr>
              <w:spacing w:after="80" w:before="0"/>
            </w:pPr>
            <w:r>
              <w:rPr>
                <w:b/>
                <w:bCs/>
                <w:color w:val="009A5C"/>
                <w:sz w:val="22"/>
                <w:szCs w:val="22"/>
              </w:rPr>
              <w:t xml:space="preserve">The bet, in one line</w:t>
            </w:r>
          </w:p>
          <w:p>
            <w:pPr>
              <w:spacing w:after="30" w:before="30"/>
            </w:pPr>
            <w:r>
              <w:rPr>
                <w:color w:val="1F2937"/>
                <w:sz w:val="20"/>
                <w:szCs w:val="20"/>
              </w:rPr>
              <w:t xml:space="preserve">Point the governance engine we already have at a new object — AI systems — and become the neutral,</w:t>
            </w:r>
          </w:p>
          <w:p>
            <w:pPr>
              <w:spacing w:after="30" w:before="30"/>
            </w:pPr>
            <w:r>
              <w:rPr>
                <w:color w:val="1F2937"/>
                <w:sz w:val="20"/>
                <w:szCs w:val="20"/>
              </w:rPr>
              <w:t xml:space="preserve">cross-cloud AI governance system of record. Build it in stages, prove value early, and let validated</w:t>
            </w:r>
          </w:p>
          <w:p>
            <w:pPr>
              <w:spacing w:after="30" w:before="30"/>
            </w:pPr>
            <w:r>
              <w:rPr>
                <w:color w:val="1F2937"/>
                <w:sz w:val="20"/>
                <w:szCs w:val="20"/>
              </w:rPr>
              <w:t xml:space="preserve">revenue fund the pace of everything that follows.</w:t>
            </w:r>
          </w:p>
        </w:tc>
      </w:tr>
    </w:tbl>
    <w:p>
      <w:r>
        <w:br w:type="page"/>
      </w:r>
    </w:p>
    <w:p>
      <w:pPr>
        <w:spacing w:after="40" w:before="240"/>
      </w:pPr>
      <w:r>
        <w:rPr>
          <w:b/>
          <w:bCs/>
          <w:color w:val="009A5C"/>
          <w:sz w:val="18"/>
          <w:szCs w:val="18"/>
        </w:rPr>
        <w:t xml:space="preserve">SECTION 1</w:t>
      </w:r>
    </w:p>
    <w:p>
      <w:pPr>
        <w:pStyle w:val="Heading1"/>
      </w:pPr>
      <w:r>
        <w:t xml:space="preserve">The Strategic Logic</w:t>
      </w:r>
    </w:p>
    <w:p>
      <w:pPr>
        <w:spacing w:after="150" w:before="60"/>
      </w:pPr>
      <w:r>
        <w:rPr>
          <w:color w:val="1F2937"/>
          <w:sz w:val="22"/>
          <w:szCs w:val="22"/>
        </w:rPr>
        <w:t xml:space="preserve">Today Revelate governs data: who may access which data product, under which entitlement, in which tenancy, with what lineage. The expansion is to aim those same primitives — identity, entitlements, policy, lineage, audit — at AI systems: models, agents, prompts, and their outputs. AI governance is not a new category we build from scratch; it is the existing engine pointed at a new object.</w:t>
      </w:r>
    </w:p>
    <w:p>
      <w:pPr>
        <w:spacing w:after="150" w:before="60"/>
      </w:pPr>
      <w:r>
        <w:rPr>
          <w:color w:val="1F2937"/>
          <w:sz w:val="22"/>
          <w:szCs w:val="22"/>
        </w:rPr>
        <w:t xml:space="preserve">This matters because enterprises are now being told — by standards bodies, regulators, and their own auditors — to prove things like: which models touched which data, under what authority, with what provenance, and can you produce the audit trail. Those are governance questions, and Revelate is one of very few players sitting on the actual enforcement substrate that can answer them truthfully rather than as documentation.</w:t>
      </w:r>
    </w:p>
    <w:p>
      <w:pPr>
        <w:pStyle w:val="Heading2"/>
      </w:pPr>
      <w:r>
        <w:t xml:space="preserve">1.1  The regulatory and standards tailwind</w:t>
      </w:r>
    </w:p>
    <w:p>
      <w:pPr>
        <w:spacing w:after="150" w:before="60"/>
      </w:pPr>
      <w:r>
        <w:rPr>
          <w:color w:val="1F2937"/>
          <w:sz w:val="22"/>
          <w:szCs w:val="22"/>
        </w:rPr>
        <w:t xml:space="preserve">A set of overlapping frameworks is converting AI governance from a nice-to-have into a board-level obligation with budget attached:</w:t>
      </w:r>
    </w:p>
    <w:p>
      <w:pPr>
        <w:pStyle w:val="ListParagraph"/>
        <w:numPr>
          <w:ilvl w:val="0"/>
          <w:numId w:val="2"/>
        </w:numPr>
        <w:spacing w:after="30" w:before="30"/>
      </w:pPr>
      <w:r>
        <w:rPr>
          <w:b/>
          <w:bCs/>
          <w:i w:val="false"/>
          <w:iCs w:val="false"/>
          <w:color w:val="1F2937"/>
          <w:sz w:val="22"/>
          <w:szCs w:val="22"/>
        </w:rPr>
        <w:t xml:space="preserve">ISO/IEC 42001 </w:t>
      </w:r>
      <w:r>
        <w:rPr>
          <w:b w:val="false"/>
          <w:bCs w:val="false"/>
          <w:i w:val="false"/>
          <w:iCs w:val="false"/>
          <w:color w:val="1F2937"/>
          <w:sz w:val="22"/>
          <w:szCs w:val="22"/>
        </w:rPr>
        <w:t xml:space="preserve">— the AI management system standard. It gives enterprises a certifiable framework for governing AI, and it maps almost directly onto the capabilities in this plan (inventory, risk classification, access control, monitoring, evidence).</w:t>
      </w:r>
    </w:p>
    <w:p>
      <w:pPr>
        <w:pStyle w:val="ListParagraph"/>
        <w:numPr>
          <w:ilvl w:val="0"/>
          <w:numId w:val="2"/>
        </w:numPr>
        <w:spacing w:after="30" w:before="30"/>
      </w:pPr>
      <w:r>
        <w:rPr>
          <w:b/>
          <w:bCs/>
          <w:i w:val="false"/>
          <w:iCs w:val="false"/>
          <w:color w:val="1F2937"/>
          <w:sz w:val="22"/>
          <w:szCs w:val="22"/>
        </w:rPr>
        <w:t xml:space="preserve">EU AI Act </w:t>
      </w:r>
      <w:r>
        <w:rPr>
          <w:b w:val="false"/>
          <w:bCs w:val="false"/>
          <w:i w:val="false"/>
          <w:iCs w:val="false"/>
          <w:color w:val="1F2937"/>
          <w:sz w:val="22"/>
          <w:szCs w:val="22"/>
        </w:rPr>
        <w:t xml:space="preserve">— a risk-tiered regime whose high-risk obligations (risk management, data governance, logging, human oversight, transparency) phase in across 2025–2027, creating hard compliance deadlines for AI used in regulated decisions.</w:t>
      </w:r>
    </w:p>
    <w:p>
      <w:pPr>
        <w:pStyle w:val="ListParagraph"/>
        <w:numPr>
          <w:ilvl w:val="0"/>
          <w:numId w:val="2"/>
        </w:numPr>
        <w:spacing w:after="30" w:before="30"/>
      </w:pPr>
      <w:r>
        <w:rPr>
          <w:b/>
          <w:bCs/>
          <w:i w:val="false"/>
          <w:iCs w:val="false"/>
          <w:color w:val="1F2937"/>
          <w:sz w:val="22"/>
          <w:szCs w:val="22"/>
        </w:rPr>
        <w:t xml:space="preserve">NIST AI Risk Management Framework </w:t>
      </w:r>
      <w:r>
        <w:rPr>
          <w:b w:val="false"/>
          <w:bCs w:val="false"/>
          <w:i w:val="false"/>
          <w:iCs w:val="false"/>
          <w:color w:val="1F2937"/>
          <w:sz w:val="22"/>
          <w:szCs w:val="22"/>
        </w:rPr>
        <w:t xml:space="preserve">— the de-facto reference in the US for mapping, measuring, and managing AI risk; increasingly written into enterprise and procurement requirements.</w:t>
      </w:r>
    </w:p>
    <w:p>
      <w:pPr>
        <w:pStyle w:val="ListParagraph"/>
        <w:numPr>
          <w:ilvl w:val="0"/>
          <w:numId w:val="2"/>
        </w:numPr>
        <w:spacing w:after="30" w:before="30"/>
      </w:pPr>
      <w:r>
        <w:rPr>
          <w:b/>
          <w:bCs/>
          <w:i w:val="false"/>
          <w:iCs w:val="false"/>
          <w:color w:val="1F2937"/>
          <w:sz w:val="22"/>
          <w:szCs w:val="22"/>
        </w:rPr>
        <w:t xml:space="preserve">Sector rules </w:t>
      </w:r>
      <w:r>
        <w:rPr>
          <w:b w:val="false"/>
          <w:bCs w:val="false"/>
          <w:i w:val="false"/>
          <w:iCs w:val="false"/>
          <w:color w:val="1F2937"/>
          <w:sz w:val="22"/>
          <w:szCs w:val="22"/>
        </w:rPr>
        <w:t xml:space="preserve">— model risk management expectations in banking, adverse-action and fairness scrutiny in insurance (NAIC model bulletin), and PHI/clinical-validation requirements in healthcare give each vertical its own forcing function.</w:t>
      </w:r>
    </w:p>
    <w:p>
      <w:pPr>
        <w:spacing w:after="150" w:before="60"/>
      </w:pPr>
      <w:r>
        <w:rPr>
          <w:color w:val="1F2937"/>
          <w:sz w:val="22"/>
          <w:szCs w:val="22"/>
        </w:rPr>
        <w:t xml:space="preserve">These frameworks are also the reason the buyer expands beyond the data team to the Chief Risk, Compliance, Security, and AI officers — a larger and more urgent budget pool.</w:t>
      </w:r>
    </w:p>
    <w:p>
      <w:pPr>
        <w:spacing w:after="120" w:before="40"/>
      </w:pPr>
      <w:r>
        <w:rPr>
          <w:i/>
          <w:iCs/>
          <w:color w:val="6B7280"/>
          <w:sz w:val="19"/>
          <w:szCs w:val="19"/>
        </w:rPr>
        <w:t xml:space="preserve">Note: specific regulatory dates and state-by-state adoption shift; confirm current status before circulating externally.</w:t>
      </w:r>
    </w:p>
    <w:p>
      <w:pPr>
        <w:pStyle w:val="Heading2"/>
      </w:pPr>
      <w:r>
        <w:t xml:space="preserve">1.2  Certifications as both product and proof</w:t>
      </w:r>
    </w:p>
    <w:p>
      <w:pPr>
        <w:spacing w:after="150" w:before="60"/>
      </w:pPr>
      <w:r>
        <w:rPr>
          <w:color w:val="1F2937"/>
          <w:sz w:val="22"/>
          <w:szCs w:val="22"/>
        </w:rPr>
        <w:t xml:space="preserve">Revelate already holds SOC 2 and ISO 27001/9001. Pursuing ISO 42001 does double duty: it is a product capability (we help customers meet it) and a trust signal (we are certified against the very standard we help enforce). Getting Revelate itself ISO 42001 certified early is both a sales asset and a way to dogfood the governance product.</w:t>
      </w:r>
    </w:p>
    <w:p>
      <w:pPr>
        <w:spacing w:after="40" w:before="240"/>
      </w:pPr>
      <w:r>
        <w:rPr>
          <w:b/>
          <w:bCs/>
          <w:color w:val="009A5C"/>
          <w:sz w:val="18"/>
          <w:szCs w:val="18"/>
        </w:rPr>
        <w:t xml:space="preserve">SECTION 2</w:t>
      </w:r>
    </w:p>
    <w:p>
      <w:pPr>
        <w:pStyle w:val="Heading1"/>
      </w:pPr>
      <w:r>
        <w:t xml:space="preserve">How to Read This Plan — Guiding Principles</w:t>
      </w:r>
    </w:p>
    <w:p>
      <w:pPr>
        <w:spacing w:after="150" w:before="60"/>
      </w:pPr>
      <w:r>
        <w:rPr>
          <w:color w:val="1F2937"/>
          <w:sz w:val="22"/>
          <w:szCs w:val="22"/>
        </w:rPr>
        <w:t xml:space="preserve">Five principles govern the sequencing decisions in this document. Where a trade-off had to be made, these are the priorities it was made against.</w:t>
      </w:r>
    </w:p>
    <w:p>
      <w:pPr>
        <w:pStyle w:val="ListParagraph"/>
        <w:numPr>
          <w:ilvl w:val="0"/>
          <w:numId w:val="2"/>
        </w:numPr>
        <w:spacing w:after="30" w:before="30"/>
      </w:pPr>
      <w:r>
        <w:rPr>
          <w:b/>
          <w:bCs/>
          <w:i w:val="false"/>
          <w:iCs w:val="false"/>
          <w:color w:val="1F2937"/>
          <w:sz w:val="22"/>
          <w:szCs w:val="22"/>
        </w:rPr>
        <w:t xml:space="preserve">Value-first staging. </w:t>
      </w:r>
      <w:r>
        <w:rPr>
          <w:b w:val="false"/>
          <w:bCs w:val="false"/>
          <w:i w:val="false"/>
          <w:iCs w:val="false"/>
          <w:color w:val="1F2937"/>
          <w:sz w:val="22"/>
          <w:szCs w:val="22"/>
        </w:rPr>
        <w:t xml:space="preserve">Every stage ships the smallest build that proves a real value point, before scaling. Stage 1 exists to prove the wedge, not to deliver the platform.</w:t>
      </w:r>
    </w:p>
    <w:p>
      <w:pPr>
        <w:pStyle w:val="ListParagraph"/>
        <w:numPr>
          <w:ilvl w:val="0"/>
          <w:numId w:val="2"/>
        </w:numPr>
        <w:spacing w:after="30" w:before="30"/>
      </w:pPr>
      <w:r>
        <w:rPr>
          <w:b/>
          <w:bCs/>
          <w:i w:val="false"/>
          <w:iCs w:val="false"/>
          <w:color w:val="1F2937"/>
          <w:sz w:val="22"/>
          <w:szCs w:val="22"/>
        </w:rPr>
        <w:t xml:space="preserve">Governance designed in, not bolted on. </w:t>
      </w:r>
      <w:r>
        <w:rPr>
          <w:b w:val="false"/>
          <w:bCs w:val="false"/>
          <w:i w:val="false"/>
          <w:iCs w:val="false"/>
          <w:color w:val="1F2937"/>
          <w:sz w:val="22"/>
          <w:szCs w:val="22"/>
        </w:rPr>
        <w:t xml:space="preserve">The access and provenance hooks are built into the platform layers as they are created. Retrofitting governance is the classic failure mode and destroys auditability.</w:t>
      </w:r>
    </w:p>
    <w:p>
      <w:pPr>
        <w:pStyle w:val="ListParagraph"/>
        <w:numPr>
          <w:ilvl w:val="0"/>
          <w:numId w:val="2"/>
        </w:numPr>
        <w:spacing w:after="30" w:before="30"/>
      </w:pPr>
      <w:r>
        <w:rPr>
          <w:b/>
          <w:bCs/>
          <w:i w:val="false"/>
          <w:iCs w:val="false"/>
          <w:color w:val="1F2937"/>
          <w:sz w:val="22"/>
          <w:szCs w:val="22"/>
        </w:rPr>
        <w:t xml:space="preserve">Partner-first on the undifferentiated. </w:t>
      </w:r>
      <w:r>
        <w:rPr>
          <w:b w:val="false"/>
          <w:bCs w:val="false"/>
          <w:i w:val="false"/>
          <w:iCs w:val="false"/>
          <w:color w:val="1F2937"/>
          <w:sz w:val="22"/>
          <w:szCs w:val="22"/>
        </w:rPr>
        <w:t xml:space="preserve">Where the capability is not our moat (semantic layer), we integrate rather than build, to conserve a five-person team for what only we can do.</w:t>
      </w:r>
    </w:p>
    <w:p>
      <w:pPr>
        <w:pStyle w:val="ListParagraph"/>
        <w:numPr>
          <w:ilvl w:val="0"/>
          <w:numId w:val="2"/>
        </w:numPr>
        <w:spacing w:after="30" w:before="30"/>
      </w:pPr>
      <w:r>
        <w:rPr>
          <w:b/>
          <w:bCs/>
          <w:i w:val="false"/>
          <w:iCs w:val="false"/>
          <w:color w:val="1F2937"/>
          <w:sz w:val="22"/>
          <w:szCs w:val="22"/>
        </w:rPr>
        <w:t xml:space="preserve">Self-funding pace. </w:t>
      </w:r>
      <w:r>
        <w:rPr>
          <w:b w:val="false"/>
          <w:bCs w:val="false"/>
          <w:i w:val="false"/>
          <w:iCs w:val="false"/>
          <w:color w:val="1F2937"/>
          <w:sz w:val="22"/>
          <w:szCs w:val="22"/>
        </w:rPr>
        <w:t xml:space="preserve">Engineering headcount is a lagging function of validated demand and revenue. Added resources unlock speed, and they unlock only after validation.</w:t>
      </w:r>
    </w:p>
    <w:p>
      <w:pPr>
        <w:pStyle w:val="ListParagraph"/>
        <w:numPr>
          <w:ilvl w:val="0"/>
          <w:numId w:val="2"/>
        </w:numPr>
        <w:spacing w:after="30" w:before="30"/>
      </w:pPr>
      <w:r>
        <w:rPr>
          <w:b/>
          <w:bCs/>
          <w:i w:val="false"/>
          <w:iCs w:val="false"/>
          <w:color w:val="1F2937"/>
          <w:sz w:val="22"/>
          <w:szCs w:val="22"/>
        </w:rPr>
        <w:t xml:space="preserve">Neutral cross-cloud moat. </w:t>
      </w:r>
      <w:r>
        <w:rPr>
          <w:b w:val="false"/>
          <w:bCs w:val="false"/>
          <w:i w:val="false"/>
          <w:iCs w:val="false"/>
          <w:color w:val="1F2937"/>
          <w:sz w:val="22"/>
          <w:szCs w:val="22"/>
        </w:rPr>
        <w:t xml:space="preserve">We win by being the governance layer that spans clouds and tenants — the one thing the platform vendors are structurally disinclined to build.</w:t>
      </w:r>
    </w:p>
    <w:p>
      <w:pPr>
        <w:spacing w:after="40" w:before="240"/>
      </w:pPr>
      <w:r>
        <w:rPr>
          <w:b/>
          <w:bCs/>
          <w:color w:val="009A5C"/>
          <w:sz w:val="18"/>
          <w:szCs w:val="18"/>
        </w:rPr>
        <w:t xml:space="preserve">SECTION 3</w:t>
      </w:r>
    </w:p>
    <w:p>
      <w:pPr>
        <w:pStyle w:val="Heading1"/>
      </w:pPr>
      <w:r>
        <w:t xml:space="preserve">Current State &amp; Constraints</w:t>
      </w:r>
    </w:p>
    <w:p>
      <w:pPr>
        <w:spacing w:after="150" w:before="60"/>
      </w:pPr>
      <w:r>
        <w:rPr>
          <w:color w:val="1F2937"/>
          <w:sz w:val="22"/>
          <w:szCs w:val="22"/>
        </w:rPr>
        <w:t xml:space="preserve">An honest baseline is the starting point for a credible roadmap.</w:t>
      </w:r>
    </w:p>
    <w:p>
      <w:pPr>
        <w:pStyle w:val="Heading2"/>
      </w:pPr>
      <w:r>
        <w:t xml:space="preserve">3.1  What the product does today</w:t>
      </w:r>
    </w:p>
    <w:p>
      <w:pPr>
        <w:spacing w:after="150" w:before="60"/>
      </w:pPr>
      <w:r>
        <w:rPr>
          <w:color w:val="1F2937"/>
          <w:sz w:val="22"/>
          <w:szCs w:val="22"/>
        </w:rPr>
        <w:t xml:space="preserve">The governed data-delivery platform: entitlement management and multi-tenant RBAC, the data catalogue, cross-cloud delivery across Snowflake, Databricks, AWS, GCP, and Azure, and an established security posture (SOC 2, ISO 27001/9001). This is a real foundation — and it is the substrate everything below extends.</w:t>
      </w:r>
    </w:p>
    <w:p>
      <w:pPr>
        <w:pStyle w:val="Heading2"/>
      </w:pPr>
      <w:r>
        <w:t xml:space="preserve">3.2  What does not exist yet</w:t>
      </w:r>
    </w:p>
    <w:p>
      <w:pPr>
        <w:spacing w:after="150" w:before="60"/>
      </w:pPr>
      <w:r>
        <w:rPr>
          <w:color w:val="1F2937"/>
          <w:sz w:val="22"/>
          <w:szCs w:val="22"/>
        </w:rPr>
        <w:t xml:space="preserve">The product cannot yet perform AI access, interrogation, or governance actions. The semantic layer, the governed AI gateway, telemetry instrumentation, the interrogation experience, the reliability layer — and every AI-governance capability on top of them — are all to be built. This plan assumes none of it is in place today.</w:t>
      </w:r>
    </w:p>
    <w:p>
      <w:pPr>
        <w:pStyle w:val="Heading2"/>
      </w:pPr>
      <w:r>
        <w:t xml:space="preserve">3.3  The binding constraint</w:t>
      </w:r>
    </w:p>
    <w:p>
      <w:pPr>
        <w:spacing w:after="150" w:before="60"/>
      </w:pPr>
      <w:r>
        <w:rPr>
          <w:b/>
          <w:bCs/>
          <w:i w:val="false"/>
          <w:iCs w:val="false"/>
          <w:color w:val="1F2937"/>
          <w:sz w:val="22"/>
          <w:szCs w:val="22"/>
        </w:rPr>
        <w:t xml:space="preserve">Five engineers. </w:t>
      </w:r>
      <w:r>
        <w:rPr>
          <w:b w:val="false"/>
          <w:bCs w:val="false"/>
          <w:i w:val="false"/>
          <w:iCs w:val="false"/>
          <w:color w:val="1F2937"/>
          <w:sz w:val="22"/>
          <w:szCs w:val="22"/>
        </w:rPr>
        <w:t xml:space="preserve">The entire arc below is scoped against a team of five. That constraint is the single biggest driver of the staging, the partner-first choices, the deferral valves, and the self-funding growth model. It is why Stage 1 is deliberately small and why speed past Stage 2 depends on adding a few hands once revenue justifies it.</w:t>
      </w:r>
    </w:p>
    <w:p>
      <w:r>
        <w:br w:type="page"/>
      </w:r>
    </w:p>
    <w:p>
      <w:pPr>
        <w:spacing w:after="40" w:before="240"/>
      </w:pPr>
      <w:r>
        <w:rPr>
          <w:b/>
          <w:bCs/>
          <w:color w:val="009A5C"/>
          <w:sz w:val="18"/>
          <w:szCs w:val="18"/>
        </w:rPr>
        <w:t xml:space="preserve">SECTION 4</w:t>
      </w:r>
    </w:p>
    <w:p>
      <w:pPr>
        <w:pStyle w:val="Heading1"/>
      </w:pPr>
      <w:r>
        <w:t xml:space="preserve">The Two Tracks of Functionality</w:t>
      </w:r>
    </w:p>
    <w:p>
      <w:pPr>
        <w:spacing w:after="150" w:before="60"/>
      </w:pPr>
      <w:r>
        <w:rPr>
          <w:color w:val="1F2937"/>
          <w:sz w:val="22"/>
          <w:szCs w:val="22"/>
        </w:rPr>
        <w:t xml:space="preserve">The build splits into two tracks that emerge together. Track A is the AI platform the product needs to exist at all. Track B is the AI-governance overlay that extends it. The tracks are interleaved, not sequential.</w:t>
      </w:r>
    </w:p>
    <w:p>
      <w:pPr>
        <w:pStyle w:val="Heading2"/>
      </w:pPr>
      <w:r>
        <w:t xml:space="preserve">Track A — Foundational AI platform</w:t>
      </w:r>
    </w:p>
    <w:p>
      <w:pPr>
        <w:pStyle w:val="ListParagraph"/>
        <w:numPr>
          <w:ilvl w:val="0"/>
          <w:numId w:val="2"/>
        </w:numPr>
        <w:spacing w:after="30" w:before="30"/>
      </w:pPr>
      <w:r>
        <w:rPr>
          <w:b/>
          <w:bCs/>
          <w:i w:val="false"/>
          <w:iCs w:val="false"/>
          <w:color w:val="1F2937"/>
          <w:sz w:val="22"/>
          <w:szCs w:val="22"/>
        </w:rPr>
        <w:t xml:space="preserve">A1 · Semantic layer </w:t>
      </w:r>
      <w:r>
        <w:rPr>
          <w:b w:val="false"/>
          <w:bCs w:val="false"/>
          <w:i w:val="false"/>
          <w:iCs w:val="false"/>
          <w:color w:val="1F2937"/>
          <w:sz w:val="22"/>
          <w:szCs w:val="22"/>
        </w:rPr>
        <w:t xml:space="preserve">(partner-first, Cube/dbt) — schema-to-business-concept mapping wired into the catalogue. Prerequisite for everything AI.</w:t>
      </w:r>
    </w:p>
    <w:p>
      <w:pPr>
        <w:pStyle w:val="ListParagraph"/>
        <w:numPr>
          <w:ilvl w:val="0"/>
          <w:numId w:val="2"/>
        </w:numPr>
        <w:spacing w:after="30" w:before="30"/>
      </w:pPr>
      <w:r>
        <w:rPr>
          <w:b/>
          <w:bCs/>
          <w:i w:val="false"/>
          <w:iCs w:val="false"/>
          <w:color w:val="1F2937"/>
          <w:sz w:val="22"/>
          <w:szCs w:val="22"/>
        </w:rPr>
        <w:t xml:space="preserve">A2 · Governed AI gateway (MCP) </w:t>
      </w:r>
      <w:r>
        <w:rPr>
          <w:b w:val="false"/>
          <w:bCs w:val="false"/>
          <w:i w:val="false"/>
          <w:iCs w:val="false"/>
          <w:color w:val="1F2937"/>
          <w:sz w:val="22"/>
          <w:szCs w:val="22"/>
        </w:rPr>
        <w:t xml:space="preserve">— the controlled surface models and agents use to reach data, with entitlement propagation and model flexibility (hosted / customer-VPC / BYO-key). The seam where AI meets governance.</w:t>
      </w:r>
    </w:p>
    <w:p>
      <w:pPr>
        <w:pStyle w:val="ListParagraph"/>
        <w:numPr>
          <w:ilvl w:val="0"/>
          <w:numId w:val="2"/>
        </w:numPr>
        <w:spacing w:after="30" w:before="30"/>
      </w:pPr>
      <w:r>
        <w:rPr>
          <w:b/>
          <w:bCs/>
          <w:i w:val="false"/>
          <w:iCs w:val="false"/>
          <w:color w:val="1F2937"/>
          <w:sz w:val="22"/>
          <w:szCs w:val="22"/>
        </w:rPr>
        <w:t xml:space="preserve">A3 · Telemetry foundation (OpenTelemetry) </w:t>
      </w:r>
      <w:r>
        <w:rPr>
          <w:b w:val="false"/>
          <w:bCs w:val="false"/>
          <w:i w:val="false"/>
          <w:iCs w:val="false"/>
          <w:color w:val="1F2937"/>
          <w:sz w:val="22"/>
          <w:szCs w:val="22"/>
        </w:rPr>
        <w:t xml:space="preserve">— instrument queries, entitlement decisions, model calls, and answer events. Built first and in parallel; it is the raw material for reliability and for every audit capability later.</w:t>
      </w:r>
    </w:p>
    <w:p>
      <w:pPr>
        <w:pStyle w:val="ListParagraph"/>
        <w:numPr>
          <w:ilvl w:val="0"/>
          <w:numId w:val="2"/>
        </w:numPr>
        <w:spacing w:after="30" w:before="30"/>
      </w:pPr>
      <w:r>
        <w:rPr>
          <w:b/>
          <w:bCs/>
          <w:i w:val="false"/>
          <w:iCs w:val="false"/>
          <w:color w:val="1F2937"/>
          <w:sz w:val="22"/>
          <w:szCs w:val="22"/>
        </w:rPr>
        <w:t xml:space="preserve">A4 · Agentic interrogation layer </w:t>
      </w:r>
      <w:r>
        <w:rPr>
          <w:b w:val="false"/>
          <w:bCs w:val="false"/>
          <w:i w:val="false"/>
          <w:iCs w:val="false"/>
          <w:color w:val="1F2937"/>
          <w:sz w:val="22"/>
          <w:szCs w:val="22"/>
        </w:rPr>
        <w:t xml:space="preserve">— natural-language query across data products, enforcing RBAC and tenancy.</w:t>
      </w:r>
    </w:p>
    <w:p>
      <w:pPr>
        <w:pStyle w:val="ListParagraph"/>
        <w:numPr>
          <w:ilvl w:val="0"/>
          <w:numId w:val="2"/>
        </w:numPr>
        <w:spacing w:after="30" w:before="30"/>
      </w:pPr>
      <w:r>
        <w:rPr>
          <w:b/>
          <w:bCs/>
          <w:i w:val="false"/>
          <w:iCs w:val="false"/>
          <w:color w:val="1F2937"/>
          <w:sz w:val="22"/>
          <w:szCs w:val="22"/>
        </w:rPr>
        <w:t xml:space="preserve">A5 · Agentic data-product creation </w:t>
      </w:r>
      <w:r>
        <w:rPr>
          <w:b w:val="false"/>
          <w:bCs w:val="false"/>
          <w:i w:val="false"/>
          <w:iCs w:val="false"/>
          <w:color w:val="1F2937"/>
          <w:sz w:val="22"/>
          <w:szCs w:val="22"/>
        </w:rPr>
        <w:t xml:space="preserve">— supply-side agent to scan environments, propose products, and pre-configure entitlements. A deferral valve if capacity is tight.</w:t>
      </w:r>
    </w:p>
    <w:p>
      <w:pPr>
        <w:pStyle w:val="ListParagraph"/>
        <w:numPr>
          <w:ilvl w:val="0"/>
          <w:numId w:val="2"/>
        </w:numPr>
        <w:spacing w:after="30" w:before="30"/>
      </w:pPr>
      <w:r>
        <w:rPr>
          <w:b/>
          <w:bCs/>
          <w:i w:val="false"/>
          <w:iCs w:val="false"/>
          <w:color w:val="1F2937"/>
          <w:sz w:val="22"/>
          <w:szCs w:val="22"/>
        </w:rPr>
        <w:t xml:space="preserve">A6 · Data reliability layer </w:t>
      </w:r>
      <w:r>
        <w:rPr>
          <w:b w:val="false"/>
          <w:bCs w:val="false"/>
          <w:i w:val="false"/>
          <w:iCs w:val="false"/>
          <w:color w:val="1F2937"/>
          <w:sz w:val="22"/>
          <w:szCs w:val="22"/>
        </w:rPr>
        <w:t xml:space="preserve">— freshness monitoring and schema/semantic conflict detection and arbitration.</w:t>
      </w:r>
    </w:p>
    <w:p>
      <w:pPr>
        <w:pStyle w:val="Heading2"/>
      </w:pPr>
      <w:r>
        <w:t xml:space="preserve">Track B — AI governance overlay</w:t>
      </w:r>
    </w:p>
    <w:p>
      <w:pPr>
        <w:pStyle w:val="ListParagraph"/>
        <w:numPr>
          <w:ilvl w:val="0"/>
          <w:numId w:val="2"/>
        </w:numPr>
        <w:spacing w:after="30" w:before="30"/>
      </w:pPr>
      <w:r>
        <w:rPr>
          <w:b/>
          <w:bCs/>
          <w:i w:val="false"/>
          <w:iCs w:val="false"/>
          <w:color w:val="1F2937"/>
          <w:sz w:val="22"/>
          <w:szCs w:val="22"/>
        </w:rPr>
        <w:t xml:space="preserve">B1 · AI principal &amp; access governance </w:t>
      </w:r>
      <w:r>
        <w:rPr>
          <w:b w:val="false"/>
          <w:bCs w:val="false"/>
          <w:i w:val="false"/>
          <w:iCs w:val="false"/>
          <w:color w:val="1F2937"/>
          <w:sz w:val="22"/>
          <w:szCs w:val="22"/>
        </w:rPr>
        <w:t xml:space="preserve">— make a model/agent a first-class identity in the RBAC engine, with policy binding model to data.</w:t>
      </w:r>
    </w:p>
    <w:p>
      <w:pPr>
        <w:pStyle w:val="ListParagraph"/>
        <w:numPr>
          <w:ilvl w:val="0"/>
          <w:numId w:val="2"/>
        </w:numPr>
        <w:spacing w:after="30" w:before="30"/>
      </w:pPr>
      <w:r>
        <w:rPr>
          <w:b/>
          <w:bCs/>
          <w:i w:val="false"/>
          <w:iCs w:val="false"/>
          <w:color w:val="1F2937"/>
          <w:sz w:val="22"/>
          <w:szCs w:val="22"/>
        </w:rPr>
        <w:t xml:space="preserve">B2 · Provenance &amp; auditable-answer records </w:t>
      </w:r>
      <w:r>
        <w:rPr>
          <w:b w:val="false"/>
          <w:bCs w:val="false"/>
          <w:i w:val="false"/>
          <w:iCs w:val="false"/>
          <w:color w:val="1F2937"/>
          <w:sz w:val="22"/>
          <w:szCs w:val="22"/>
        </w:rPr>
        <w:t xml:space="preserve">— every AI answer emits source lineage, entitlement context, and an immutable audit record.</w:t>
      </w:r>
    </w:p>
    <w:p>
      <w:pPr>
        <w:pStyle w:val="ListParagraph"/>
        <w:numPr>
          <w:ilvl w:val="0"/>
          <w:numId w:val="2"/>
        </w:numPr>
        <w:spacing w:after="30" w:before="30"/>
      </w:pPr>
      <w:r>
        <w:rPr>
          <w:b/>
          <w:bCs/>
          <w:i w:val="false"/>
          <w:iCs w:val="false"/>
          <w:color w:val="1F2937"/>
          <w:sz w:val="22"/>
          <w:szCs w:val="22"/>
        </w:rPr>
        <w:t xml:space="preserve">B3 · Policy &amp; guardrail enforcement </w:t>
      </w:r>
      <w:r>
        <w:rPr>
          <w:b w:val="false"/>
          <w:bCs w:val="false"/>
          <w:i w:val="false"/>
          <w:iCs w:val="false"/>
          <w:color w:val="1F2937"/>
          <w:sz w:val="22"/>
          <w:szCs w:val="22"/>
        </w:rPr>
        <w:t xml:space="preserve">— query-time PII masking, purpose limitation, residency, and output filtering — model-agnostic.</w:t>
      </w:r>
    </w:p>
    <w:p>
      <w:pPr>
        <w:pStyle w:val="ListParagraph"/>
        <w:numPr>
          <w:ilvl w:val="0"/>
          <w:numId w:val="2"/>
        </w:numPr>
        <w:spacing w:after="30" w:before="30"/>
      </w:pPr>
      <w:r>
        <w:rPr>
          <w:b/>
          <w:bCs/>
          <w:i w:val="false"/>
          <w:iCs w:val="false"/>
          <w:color w:val="1F2937"/>
          <w:sz w:val="22"/>
          <w:szCs w:val="22"/>
        </w:rPr>
        <w:t xml:space="preserve">B4 · AI system inventory &amp; risk registry </w:t>
      </w:r>
      <w:r>
        <w:rPr>
          <w:b w:val="false"/>
          <w:bCs w:val="false"/>
          <w:i w:val="false"/>
          <w:iCs w:val="false"/>
          <w:color w:val="1F2937"/>
          <w:sz w:val="22"/>
          <w:szCs w:val="22"/>
        </w:rPr>
        <w:t xml:space="preserve">— a catalogue object for models/agents/prompts, with risk classification mapped to ISO 42001, the EU AI Act, and NIST AI RMF.</w:t>
      </w:r>
    </w:p>
    <w:p>
      <w:pPr>
        <w:pStyle w:val="ListParagraph"/>
        <w:numPr>
          <w:ilvl w:val="0"/>
          <w:numId w:val="2"/>
        </w:numPr>
        <w:spacing w:after="30" w:before="30"/>
      </w:pPr>
      <w:r>
        <w:rPr>
          <w:b/>
          <w:bCs/>
          <w:i w:val="false"/>
          <w:iCs w:val="false"/>
          <w:color w:val="1F2937"/>
          <w:sz w:val="22"/>
          <w:szCs w:val="22"/>
        </w:rPr>
        <w:t xml:space="preserve">B5 · Evaluation, monitoring &amp; attestation </w:t>
      </w:r>
      <w:r>
        <w:rPr>
          <w:b w:val="false"/>
          <w:bCs w:val="false"/>
          <w:i w:val="false"/>
          <w:iCs w:val="false"/>
          <w:color w:val="1F2937"/>
          <w:sz w:val="22"/>
          <w:szCs w:val="22"/>
        </w:rPr>
        <w:t xml:space="preserve">— drift/bias/hallucination evaluation, continuous monitoring, and one-click evidence and attestation packs.</w:t>
      </w:r>
    </w:p>
    <w:p>
      <w:pPr>
        <w:spacing w:after="150" w:before="60"/>
      </w:pPr>
      <w:r>
        <w:rPr>
          <w:color w:val="1F2937"/>
          <w:sz w:val="22"/>
          <w:szCs w:val="22"/>
        </w:rPr>
        <w:t xml:space="preserve">Plus cross-cutting enablers: non-human/agent identity, the admin console and audit dashboards, GRC and SIEM connectors, and the certification program (Revelate’s own ISO 42001, and extending SOC 2 / ISO 27001 scope to the new surfaces).</w:t>
      </w:r>
    </w:p>
    <w:p>
      <w:pPr>
        <w:spacing w:after="40" w:before="240"/>
      </w:pPr>
      <w:r>
        <w:rPr>
          <w:b/>
          <w:bCs/>
          <w:color w:val="009A5C"/>
          <w:sz w:val="18"/>
          <w:szCs w:val="18"/>
        </w:rPr>
        <w:t xml:space="preserve">SECTION 5</w:t>
      </w:r>
    </w:p>
    <w:p>
      <w:pPr>
        <w:pStyle w:val="Heading1"/>
      </w:pPr>
      <w:r>
        <w:t xml:space="preserve">The Effort &amp; Risk Model</w:t>
      </w:r>
    </w:p>
    <w:p>
      <w:pPr>
        <w:spacing w:after="150" w:before="60"/>
      </w:pPr>
      <w:r>
        <w:rPr>
          <w:color w:val="1F2937"/>
          <w:sz w:val="22"/>
          <w:szCs w:val="22"/>
        </w:rPr>
        <w:t xml:space="preserve">Every capability below carries a t-shirt size, a rough engineer-week range, and a three-part risk read. The sizing is deliberately rough — its purpose is to make the five-person capacity math visible, not to pretend to precision.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Size</w:t>
            </w:r>
          </w:p>
        </w:tc>
        <w:tc>
          <w:tcPr>
            <w:tcW w:type="dxa" w:w="220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Engineer-weeks</w:t>
            </w:r>
          </w:p>
        </w:tc>
        <w:tc>
          <w:tcPr>
            <w:tcW w:type="dxa" w:w="59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Read as</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S</w:t>
            </w:r>
          </w:p>
        </w:tc>
        <w:tc>
          <w:tcPr>
            <w:tcW w:type="dxa" w:w="22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2–4</w:t>
            </w:r>
          </w:p>
        </w:tc>
        <w:tc>
          <w:tcPr>
            <w:tcW w:type="dxa" w:w="59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Integration, configuration, or a small extension of an existing capability</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bCs/>
                <w:color w:val="1F2937"/>
                <w:sz w:val="18"/>
                <w:szCs w:val="18"/>
              </w:rPr>
              <w:t xml:space="preserve">M</w:t>
            </w:r>
          </w:p>
        </w:tc>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6–10</w:t>
            </w:r>
          </w:p>
        </w:tc>
        <w:tc>
          <w:tcPr>
            <w:tcW w:type="dxa" w:w="5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A meaningful new capability within a single domain</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L</w:t>
            </w:r>
          </w:p>
        </w:tc>
        <w:tc>
          <w:tcPr>
            <w:tcW w:type="dxa" w:w="22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12–20</w:t>
            </w:r>
          </w:p>
        </w:tc>
        <w:tc>
          <w:tcPr>
            <w:tcW w:type="dxa" w:w="59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A major subsystem — cross-cutting, with real unknowns</w:t>
            </w:r>
          </w:p>
        </w:tc>
      </w:tr>
    </w:tbl>
    <w:p>
      <w:pPr>
        <w:spacing w:after="0" w:before="120"/>
      </w:pPr>
      <w:r>
        <w:t xml:space="preserve"/>
      </w:r>
    </w:p>
    <w:p>
      <w:pPr>
        <w:spacing w:after="150" w:before="60"/>
      </w:pPr>
      <w:r>
        <w:rPr>
          <w:color w:val="1F2937"/>
          <w:sz w:val="22"/>
          <w:szCs w:val="22"/>
        </w:rPr>
        <w:t xml:space="preserve">The risk columns read as Market (will the market want and adopt it), Cost (build complexity and capacity draw), and Sales (length and difficulty of the sales motion it implies), each rated Low, Medium, or High.</w:t>
      </w:r>
    </w:p>
    <w:p>
      <w:pPr>
        <w:pStyle w:val="Heading2"/>
      </w:pPr>
      <w:r>
        <w:t xml:space="preserve">5.1  Capacity math at five engineers</w:t>
      </w:r>
    </w:p>
    <w:p>
      <w:pPr>
        <w:spacing w:after="150" w:before="60"/>
      </w:pPr>
      <w:r>
        <w:rPr>
          <w:color w:val="1F2937"/>
          <w:sz w:val="22"/>
          <w:szCs w:val="22"/>
        </w:rPr>
        <w:t xml:space="preserve">Assume roughly four effective engineer-FTE against the roadmap once run, support, and overhead are removed. The full arc totals on the order of 100–170 engineer-weeks. Dependencies — the gateway sits on the critical path — cap how much can run in parallel. Realistically that puts Stages 1 and 2 within roughly the first 7–10 months, with Stage 3 as the binding constraint that pushes the full arc toward and past 24 months at five engineers. Adding two to three engineers after Stage-2 revenue validation is what compresses Stage 3 and holds the 24-month line — the subject of Section 9.</w:t>
      </w:r>
    </w:p>
    <w:p>
      <w:r>
        <w:br w:type="page"/>
      </w:r>
    </w:p>
    <w:p>
      <w:pPr>
        <w:spacing w:after="40" w:before="240"/>
      </w:pPr>
      <w:r>
        <w:rPr>
          <w:b/>
          <w:bCs/>
          <w:color w:val="009A5C"/>
          <w:sz w:val="18"/>
          <w:szCs w:val="18"/>
        </w:rPr>
        <w:t xml:space="preserve">SECTION 6</w:t>
      </w:r>
    </w:p>
    <w:p>
      <w:pPr>
        <w:pStyle w:val="Heading1"/>
      </w:pPr>
      <w:r>
        <w:t xml:space="preserve">The Staged Roadmap</w:t>
      </w:r>
    </w:p>
    <w:p>
      <w:pPr>
        <w:spacing w:after="150" w:before="60"/>
      </w:pPr>
      <w:r>
        <w:rPr>
          <w:color w:val="1F2937"/>
          <w:sz w:val="22"/>
          <w:szCs w:val="22"/>
        </w:rPr>
        <w:t xml:space="preserve">Three dependency-ordered stages. Both tracks emerge in each. Every stage carries a value proof point and a go-to-market overlay so the build and the market validate each other.</w:t>
      </w:r>
    </w:p>
    <w:p>
      <w:pPr>
        <w:pStyle w:val="Heading2"/>
      </w:pPr>
      <w:r>
        <w:t xml:space="preserve">Stage 1 — Governed, auditable AI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9A5C" w:sz="18"/>
              <w:bottom w:val="single" w:color="D1D5DB" w:sz="1"/>
              <w:right w:val="single" w:color="D1D5DB" w:sz="1"/>
            </w:tcBorders>
            <w:shd w:fill="ECFDF5" w:val="clear"/>
            <w:tcMar>
              <w:top w:type="dxa" w:w="120"/>
              <w:left w:type="dxa" w:w="200"/>
              <w:bottom w:type="dxa" w:w="120"/>
              <w:right w:type="dxa" w:w="200"/>
            </w:tcMar>
          </w:tcPr>
          <w:p>
            <w:pPr>
              <w:spacing w:after="80" w:before="0"/>
            </w:pPr>
            <w:r>
              <w:rPr>
                <w:b/>
                <w:bCs/>
                <w:color w:val="009A5C"/>
                <w:sz w:val="22"/>
                <w:szCs w:val="22"/>
              </w:rPr>
              <w:t xml:space="preserve">Value proof</w:t>
            </w:r>
          </w:p>
          <w:p>
            <w:pPr>
              <w:spacing w:after="30" w:before="30"/>
            </w:pPr>
            <w:r>
              <w:rPr>
                <w:color w:val="1F2937"/>
                <w:sz w:val="20"/>
                <w:szCs w:val="20"/>
              </w:rPr>
              <w:t xml:space="preserve">A design-partner demo in which an AI agent answers a natural-language question against their governed</w:t>
            </w:r>
          </w:p>
          <w:p>
            <w:pPr>
              <w:spacing w:after="30" w:before="30"/>
            </w:pPr>
            <w:r>
              <w:rPr>
                <w:color w:val="1F2937"/>
                <w:sz w:val="20"/>
                <w:szCs w:val="20"/>
              </w:rPr>
              <w:t xml:space="preserve">data — entitlements enforced, full audit trail attached. The smallest credible build that proves the one</w:t>
            </w:r>
          </w:p>
          <w:p>
            <w:pPr>
              <w:spacing w:after="30" w:before="30"/>
            </w:pPr>
            <w:r>
              <w:rPr>
                <w:color w:val="1F2937"/>
                <w:sz w:val="20"/>
                <w:szCs w:val="20"/>
              </w:rPr>
              <w:t xml:space="preserve">thing no competitor can honestly claim.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860"/>
        <w:gridCol w:w="760"/>
        <w:gridCol w:w="1180"/>
        <w:gridCol w:w="1080"/>
        <w:gridCol w:w="1080"/>
        <w:gridCol w:w="1040"/>
      </w:tblGrid>
      <w:tr>
        <w:trPr>
          <w:tblHeader/>
        </w:trPr>
        <w:tc>
          <w:tcPr>
            <w:tcW w:type="dxa" w:w="33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Capability</w:t>
            </w:r>
          </w:p>
        </w:tc>
        <w:tc>
          <w:tcPr>
            <w:tcW w:type="dxa" w:w="8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Track</w:t>
            </w:r>
          </w:p>
        </w:tc>
        <w:tc>
          <w:tcPr>
            <w:tcW w:type="dxa" w:w="7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Size</w:t>
            </w:r>
          </w:p>
        </w:tc>
        <w:tc>
          <w:tcPr>
            <w:tcW w:type="dxa" w:w="118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Eng-weeks</w:t>
            </w:r>
          </w:p>
        </w:tc>
        <w:tc>
          <w:tcPr>
            <w:tcW w:type="dxa" w:w="108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Mkt</w:t>
            </w:r>
          </w:p>
        </w:tc>
        <w:tc>
          <w:tcPr>
            <w:tcW w:type="dxa" w:w="108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Cost</w:t>
            </w:r>
          </w:p>
        </w:tc>
        <w:tc>
          <w:tcPr>
            <w:tcW w:type="dxa" w:w="104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Sales</w:t>
            </w:r>
          </w:p>
        </w:tc>
      </w:tr>
      <w:tr>
        <w:tc>
          <w:tcPr>
            <w:tcW w:type="dxa" w:w="33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A1 · Semantic layer (partner-first Cube/dbt)</w:t>
            </w:r>
          </w:p>
        </w:tc>
        <w:tc>
          <w:tcPr>
            <w:tcW w:type="dxa" w:w="8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1F2937"/>
                <w:sz w:val="18"/>
                <w:szCs w:val="18"/>
              </w:rPr>
              <w:t xml:space="preserve">A</w:t>
            </w:r>
          </w:p>
        </w:tc>
        <w:tc>
          <w:tcPr>
            <w:tcW w:type="dxa" w:w="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6B7280"/>
                <w:sz w:val="18"/>
                <w:szCs w:val="18"/>
              </w:rPr>
              <w:t xml:space="preserve">S</w:t>
            </w:r>
          </w:p>
        </w:tc>
        <w:tc>
          <w:tcPr>
            <w:tcW w:type="dxa" w:w="11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val="false"/>
                <w:bCs w:val="false"/>
                <w:color w:val="1F2937"/>
                <w:sz w:val="18"/>
                <w:szCs w:val="18"/>
              </w:rPr>
              <w:t xml:space="preserve">2–4</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c>
          <w:tcPr>
            <w:tcW w:type="dxa" w:w="104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r>
      <w:tr>
        <w:tc>
          <w:tcPr>
            <w:tcW w:type="dxa" w:w="3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A2 · Governed AI gateway (MCP)</w:t>
            </w:r>
          </w:p>
        </w:tc>
        <w:tc>
          <w:tcPr>
            <w:tcW w:type="dxa" w:w="8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1F2937"/>
                <w:sz w:val="18"/>
                <w:szCs w:val="18"/>
              </w:rPr>
              <w:t xml:space="preserve">A</w:t>
            </w:r>
          </w:p>
        </w:tc>
        <w:tc>
          <w:tcPr>
            <w:tcW w:type="dxa" w:w="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6B7280"/>
                <w:sz w:val="18"/>
                <w:szCs w:val="18"/>
              </w:rPr>
              <w:t xml:space="preserve">L</w:t>
            </w:r>
          </w:p>
        </w:tc>
        <w:tc>
          <w:tcPr>
            <w:tcW w:type="dxa" w:w="11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val="false"/>
                <w:bCs w:val="false"/>
                <w:color w:val="1F2937"/>
                <w:sz w:val="18"/>
                <w:szCs w:val="18"/>
              </w:rPr>
              <w:t xml:space="preserve">12–20</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4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r>
      <w:tr>
        <w:tc>
          <w:tcPr>
            <w:tcW w:type="dxa" w:w="33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A3 · Telemetry foundation (OpenTelemetry)</w:t>
            </w:r>
          </w:p>
        </w:tc>
        <w:tc>
          <w:tcPr>
            <w:tcW w:type="dxa" w:w="8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1F2937"/>
                <w:sz w:val="18"/>
                <w:szCs w:val="18"/>
              </w:rPr>
              <w:t xml:space="preserve">A</w:t>
            </w:r>
          </w:p>
        </w:tc>
        <w:tc>
          <w:tcPr>
            <w:tcW w:type="dxa" w:w="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6B7280"/>
                <w:sz w:val="18"/>
                <w:szCs w:val="18"/>
              </w:rPr>
              <w:t xml:space="preserve">M</w:t>
            </w:r>
          </w:p>
        </w:tc>
        <w:tc>
          <w:tcPr>
            <w:tcW w:type="dxa" w:w="11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val="false"/>
                <w:bCs w:val="false"/>
                <w:color w:val="1F2937"/>
                <w:sz w:val="18"/>
                <w:szCs w:val="18"/>
              </w:rPr>
              <w:t xml:space="preserve">6–10</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4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r>
      <w:tr>
        <w:tc>
          <w:tcPr>
            <w:tcW w:type="dxa" w:w="3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B1 · AI principal &amp; access governance (seed)</w:t>
            </w:r>
          </w:p>
        </w:tc>
        <w:tc>
          <w:tcPr>
            <w:tcW w:type="dxa" w:w="8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009A5C"/>
                <w:sz w:val="18"/>
                <w:szCs w:val="18"/>
              </w:rPr>
              <w:t xml:space="preserve">B</w:t>
            </w:r>
          </w:p>
        </w:tc>
        <w:tc>
          <w:tcPr>
            <w:tcW w:type="dxa" w:w="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6B7280"/>
                <w:sz w:val="18"/>
                <w:szCs w:val="18"/>
              </w:rPr>
              <w:t xml:space="preserve">M</w:t>
            </w:r>
          </w:p>
        </w:tc>
        <w:tc>
          <w:tcPr>
            <w:tcW w:type="dxa" w:w="11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val="false"/>
                <w:bCs w:val="false"/>
                <w:color w:val="1F2937"/>
                <w:sz w:val="18"/>
                <w:szCs w:val="18"/>
              </w:rPr>
              <w:t xml:space="preserve">6–10</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4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r>
      <w:tr>
        <w:tc>
          <w:tcPr>
            <w:tcW w:type="dxa" w:w="33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B2 · Provenance &amp; audit records (seed)</w:t>
            </w:r>
          </w:p>
        </w:tc>
        <w:tc>
          <w:tcPr>
            <w:tcW w:type="dxa" w:w="8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009A5C"/>
                <w:sz w:val="18"/>
                <w:szCs w:val="18"/>
              </w:rPr>
              <w:t xml:space="preserve">B</w:t>
            </w:r>
          </w:p>
        </w:tc>
        <w:tc>
          <w:tcPr>
            <w:tcW w:type="dxa" w:w="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6B7280"/>
                <w:sz w:val="18"/>
                <w:szCs w:val="18"/>
              </w:rPr>
              <w:t xml:space="preserve">M</w:t>
            </w:r>
          </w:p>
        </w:tc>
        <w:tc>
          <w:tcPr>
            <w:tcW w:type="dxa" w:w="11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val="false"/>
                <w:bCs w:val="false"/>
                <w:color w:val="1F2937"/>
                <w:sz w:val="18"/>
                <w:szCs w:val="18"/>
              </w:rPr>
              <w:t xml:space="preserve">6–10</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4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r>
      <w:tr>
        <w:tc>
          <w:tcPr>
            <w:tcW w:type="dxa" w:w="336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bCs/>
                <w:i w:val="false"/>
                <w:iCs w:val="false"/>
                <w:color w:val="1F2937"/>
                <w:sz w:val="18"/>
                <w:szCs w:val="18"/>
              </w:rPr>
              <w:t xml:space="preserve">Stage build subtotal</w:t>
            </w:r>
          </w:p>
        </w:tc>
        <w:tc>
          <w:tcPr>
            <w:tcW w:type="dxa" w:w="86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76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118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center"/>
            </w:pPr>
            <w:r>
              <w:rPr>
                <w:b/>
                <w:bCs/>
                <w:i w:val="false"/>
                <w:iCs w:val="false"/>
                <w:color w:val="009A5C"/>
                <w:sz w:val="18"/>
                <w:szCs w:val="18"/>
              </w:rPr>
              <w:t xml:space="preserve">≈ 32–54</w:t>
            </w:r>
          </w:p>
        </w:tc>
        <w:tc>
          <w:tcPr>
            <w:tcW w:type="dxa" w:w="108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108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104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Validate</w:t>
            </w:r>
          </w:p>
        </w:tc>
        <w:tc>
          <w:tcPr>
            <w:tcW w:type="dxa" w:w="312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Sell</w:t>
            </w:r>
          </w:p>
        </w:tc>
        <w:tc>
          <w:tcPr>
            <w:tcW w:type="dxa" w:w="312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Partner</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i w:val="false"/>
                <w:iCs w:val="false"/>
                <w:color w:val="1F2937"/>
                <w:sz w:val="18"/>
                <w:szCs w:val="18"/>
              </w:rPr>
              <w:t xml:space="preserve">2–3 financial-services and healthcare design partners. Test willingness to pay for governance, not chat.</w:t>
            </w:r>
          </w:p>
        </w:tc>
        <w:tc>
          <w:tcPr>
            <w:tcW w:type="dxa" w:w="312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i w:val="false"/>
                <w:iCs w:val="false"/>
                <w:color w:val="1F2937"/>
                <w:sz w:val="18"/>
                <w:szCs w:val="18"/>
              </w:rPr>
              <w:t xml:space="preserve">Founder-led POC on “governed &amp; auditable AI access.” Engage the risk/compliance buyer early.</w:t>
            </w:r>
          </w:p>
        </w:tc>
        <w:tc>
          <w:tcPr>
            <w:tcW w:type="dxa" w:w="312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i w:val="false"/>
                <w:iCs w:val="false"/>
                <w:color w:val="1F2937"/>
                <w:sz w:val="18"/>
                <w:szCs w:val="18"/>
              </w:rPr>
              <w:t xml:space="preserve">Snowflake/Databricks technical alignment; semantic-layer partner (Cube/dbt).</w:t>
            </w:r>
          </w:p>
        </w:tc>
      </w:tr>
    </w:tbl>
    <w:p>
      <w:r>
        <w:br w:type="page"/>
      </w:r>
    </w:p>
    <w:p>
      <w:pPr>
        <w:pStyle w:val="Heading2"/>
      </w:pPr>
      <w:r>
        <w:t xml:space="preserve">Stage 2 — Auditable AI answers, made repeatable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9A5C" w:sz="18"/>
              <w:bottom w:val="single" w:color="D1D5DB" w:sz="1"/>
              <w:right w:val="single" w:color="D1D5DB" w:sz="1"/>
            </w:tcBorders>
            <w:shd w:fill="ECFDF5" w:val="clear"/>
            <w:tcMar>
              <w:top w:type="dxa" w:w="120"/>
              <w:left w:type="dxa" w:w="200"/>
              <w:bottom w:type="dxa" w:w="120"/>
              <w:right w:type="dxa" w:w="200"/>
            </w:tcMar>
          </w:tcPr>
          <w:p>
            <w:pPr>
              <w:spacing w:after="80" w:before="0"/>
            </w:pPr>
            <w:r>
              <w:rPr>
                <w:b/>
                <w:bCs/>
                <w:color w:val="009A5C"/>
                <w:sz w:val="22"/>
                <w:szCs w:val="22"/>
              </w:rPr>
              <w:t xml:space="preserve">Value proof</w:t>
            </w:r>
          </w:p>
          <w:p>
            <w:pPr>
              <w:spacing w:after="30" w:before="30"/>
            </w:pPr>
            <w:r>
              <w:rPr>
                <w:color w:val="1F2937"/>
                <w:sz w:val="20"/>
                <w:szCs w:val="20"/>
              </w:rPr>
              <w:t xml:space="preserve">A self-serve governed interrogation experience with native audit; first paid conversions from design</w:t>
            </w:r>
          </w:p>
          <w:p>
            <w:pPr>
              <w:spacing w:after="30" w:before="30"/>
            </w:pPr>
            <w:r>
              <w:rPr>
                <w:color w:val="1F2937"/>
                <w:sz w:val="20"/>
                <w:szCs w:val="20"/>
              </w:rPr>
              <w:t xml:space="preserve">partners; and Revelate’s own ISO 42001 readiness underway as a sales and trust asset.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860"/>
        <w:gridCol w:w="760"/>
        <w:gridCol w:w="1180"/>
        <w:gridCol w:w="1080"/>
        <w:gridCol w:w="1080"/>
        <w:gridCol w:w="1040"/>
      </w:tblGrid>
      <w:tr>
        <w:trPr>
          <w:tblHeader/>
        </w:trPr>
        <w:tc>
          <w:tcPr>
            <w:tcW w:type="dxa" w:w="33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Capability</w:t>
            </w:r>
          </w:p>
        </w:tc>
        <w:tc>
          <w:tcPr>
            <w:tcW w:type="dxa" w:w="8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Track</w:t>
            </w:r>
          </w:p>
        </w:tc>
        <w:tc>
          <w:tcPr>
            <w:tcW w:type="dxa" w:w="7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Size</w:t>
            </w:r>
          </w:p>
        </w:tc>
        <w:tc>
          <w:tcPr>
            <w:tcW w:type="dxa" w:w="118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Eng-weeks</w:t>
            </w:r>
          </w:p>
        </w:tc>
        <w:tc>
          <w:tcPr>
            <w:tcW w:type="dxa" w:w="108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Mkt</w:t>
            </w:r>
          </w:p>
        </w:tc>
        <w:tc>
          <w:tcPr>
            <w:tcW w:type="dxa" w:w="108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Cost</w:t>
            </w:r>
          </w:p>
        </w:tc>
        <w:tc>
          <w:tcPr>
            <w:tcW w:type="dxa" w:w="104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Sales</w:t>
            </w:r>
          </w:p>
        </w:tc>
      </w:tr>
      <w:tr>
        <w:tc>
          <w:tcPr>
            <w:tcW w:type="dxa" w:w="33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A4 · Agentic interrogation (B1/B2 built in)</w:t>
            </w:r>
          </w:p>
        </w:tc>
        <w:tc>
          <w:tcPr>
            <w:tcW w:type="dxa" w:w="8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1F2937"/>
                <w:sz w:val="18"/>
                <w:szCs w:val="18"/>
              </w:rPr>
              <w:t xml:space="preserve">A</w:t>
            </w:r>
          </w:p>
        </w:tc>
        <w:tc>
          <w:tcPr>
            <w:tcW w:type="dxa" w:w="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6B7280"/>
                <w:sz w:val="18"/>
                <w:szCs w:val="18"/>
              </w:rPr>
              <w:t xml:space="preserve">L</w:t>
            </w:r>
          </w:p>
        </w:tc>
        <w:tc>
          <w:tcPr>
            <w:tcW w:type="dxa" w:w="11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val="false"/>
                <w:bCs w:val="false"/>
                <w:color w:val="1F2937"/>
                <w:sz w:val="18"/>
                <w:szCs w:val="18"/>
              </w:rPr>
              <w:t xml:space="preserve">12–20</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c>
          <w:tcPr>
            <w:tcW w:type="dxa" w:w="104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r>
      <w:tr>
        <w:tc>
          <w:tcPr>
            <w:tcW w:type="dxa" w:w="3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B3 · Policy &amp; guardrail enforcement (PII, residency, purpose)</w:t>
            </w:r>
          </w:p>
        </w:tc>
        <w:tc>
          <w:tcPr>
            <w:tcW w:type="dxa" w:w="8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009A5C"/>
                <w:sz w:val="18"/>
                <w:szCs w:val="18"/>
              </w:rPr>
              <w:t xml:space="preserve">B</w:t>
            </w:r>
          </w:p>
        </w:tc>
        <w:tc>
          <w:tcPr>
            <w:tcW w:type="dxa" w:w="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6B7280"/>
                <w:sz w:val="18"/>
                <w:szCs w:val="18"/>
              </w:rPr>
              <w:t xml:space="preserve">M</w:t>
            </w:r>
          </w:p>
        </w:tc>
        <w:tc>
          <w:tcPr>
            <w:tcW w:type="dxa" w:w="11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val="false"/>
                <w:bCs w:val="false"/>
                <w:color w:val="1F2937"/>
                <w:sz w:val="18"/>
                <w:szCs w:val="18"/>
              </w:rPr>
              <w:t xml:space="preserve">6–10</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4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r>
      <w:tr>
        <w:tc>
          <w:tcPr>
            <w:tcW w:type="dxa" w:w="33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A5 · Agentic data-product creation (alpha — deferrable)</w:t>
            </w:r>
          </w:p>
        </w:tc>
        <w:tc>
          <w:tcPr>
            <w:tcW w:type="dxa" w:w="8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1F2937"/>
                <w:sz w:val="18"/>
                <w:szCs w:val="18"/>
              </w:rPr>
              <w:t xml:space="preserve">A</w:t>
            </w:r>
          </w:p>
        </w:tc>
        <w:tc>
          <w:tcPr>
            <w:tcW w:type="dxa" w:w="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6B7280"/>
                <w:sz w:val="18"/>
                <w:szCs w:val="18"/>
              </w:rPr>
              <w:t xml:space="preserve">M</w:t>
            </w:r>
          </w:p>
        </w:tc>
        <w:tc>
          <w:tcPr>
            <w:tcW w:type="dxa" w:w="11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val="false"/>
                <w:bCs w:val="false"/>
                <w:color w:val="1F2937"/>
                <w:sz w:val="18"/>
                <w:szCs w:val="18"/>
              </w:rPr>
              <w:t xml:space="preserve">6–10</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4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r>
      <w:tr>
        <w:tc>
          <w:tcPr>
            <w:tcW w:type="dxa" w:w="3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ISO 42001 program (Revelate itself)</w:t>
            </w:r>
          </w:p>
        </w:tc>
        <w:tc>
          <w:tcPr>
            <w:tcW w:type="dxa" w:w="8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6B7280"/>
                <w:sz w:val="18"/>
                <w:szCs w:val="18"/>
              </w:rPr>
              <w:t xml:space="preserve">E</w:t>
            </w:r>
          </w:p>
        </w:tc>
        <w:tc>
          <w:tcPr>
            <w:tcW w:type="dxa" w:w="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6B7280"/>
                <w:sz w:val="18"/>
                <w:szCs w:val="18"/>
              </w:rPr>
              <w:t xml:space="preserve">S</w:t>
            </w:r>
          </w:p>
        </w:tc>
        <w:tc>
          <w:tcPr>
            <w:tcW w:type="dxa" w:w="11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val="false"/>
                <w:bCs w:val="false"/>
                <w:color w:val="1F2937"/>
                <w:sz w:val="18"/>
                <w:szCs w:val="18"/>
              </w:rPr>
              <w:t xml:space="preserve">2–4</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4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r>
      <w:tr>
        <w:tc>
          <w:tcPr>
            <w:tcW w:type="dxa" w:w="336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bCs/>
                <w:i w:val="false"/>
                <w:iCs w:val="false"/>
                <w:color w:val="1F2937"/>
                <w:sz w:val="18"/>
                <w:szCs w:val="18"/>
              </w:rPr>
              <w:t xml:space="preserve">Stage build subtotal</w:t>
            </w:r>
          </w:p>
        </w:tc>
        <w:tc>
          <w:tcPr>
            <w:tcW w:type="dxa" w:w="86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76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118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center"/>
            </w:pPr>
            <w:r>
              <w:rPr>
                <w:b/>
                <w:bCs/>
                <w:i w:val="false"/>
                <w:iCs w:val="false"/>
                <w:color w:val="009A5C"/>
                <w:sz w:val="18"/>
                <w:szCs w:val="18"/>
              </w:rPr>
              <w:t xml:space="preserve">≈ 26–44</w:t>
            </w:r>
          </w:p>
        </w:tc>
        <w:tc>
          <w:tcPr>
            <w:tcW w:type="dxa" w:w="108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108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104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Validate</w:t>
            </w:r>
          </w:p>
        </w:tc>
        <w:tc>
          <w:tcPr>
            <w:tcW w:type="dxa" w:w="312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Sell</w:t>
            </w:r>
          </w:p>
        </w:tc>
        <w:tc>
          <w:tcPr>
            <w:tcW w:type="dxa" w:w="312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Partner</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i w:val="false"/>
                <w:iCs w:val="false"/>
                <w:color w:val="1F2937"/>
                <w:sz w:val="18"/>
                <w:szCs w:val="18"/>
              </w:rPr>
              <w:t xml:space="preserve">Convert design partners to paid. Prove governance commands a separate budget and a premium.</w:t>
            </w:r>
          </w:p>
        </w:tc>
        <w:tc>
          <w:tcPr>
            <w:tcW w:type="dxa" w:w="312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i w:val="false"/>
                <w:iCs w:val="false"/>
                <w:color w:val="1F2937"/>
                <w:sz w:val="18"/>
                <w:szCs w:val="18"/>
              </w:rPr>
              <w:t xml:space="preserve">Add the CRO/CISO buyer. Land-and-expand pricing: platform + consumption + a governance seed.</w:t>
            </w:r>
          </w:p>
        </w:tc>
        <w:tc>
          <w:tcPr>
            <w:tcW w:type="dxa" w:w="312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i w:val="false"/>
                <w:iCs w:val="false"/>
                <w:color w:val="1F2937"/>
                <w:sz w:val="18"/>
                <w:szCs w:val="18"/>
              </w:rPr>
              <w:t xml:space="preserve">GRC integration design (OneTrust/ServiceNow); Big 4 ISO 42001 readiness conversations.</w:t>
            </w:r>
          </w:p>
        </w:tc>
      </w:tr>
    </w:tbl>
    <w:p>
      <w:r>
        <w:br w:type="page"/>
      </w:r>
    </w:p>
    <w:p>
      <w:pPr>
        <w:pStyle w:val="Heading2"/>
      </w:pPr>
      <w:r>
        <w:t xml:space="preserve">Stage 3 — The enterprise AI control tower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9A5C" w:sz="18"/>
              <w:bottom w:val="single" w:color="D1D5DB" w:sz="1"/>
              <w:right w:val="single" w:color="D1D5DB" w:sz="1"/>
            </w:tcBorders>
            <w:shd w:fill="ECFDF5" w:val="clear"/>
            <w:tcMar>
              <w:top w:type="dxa" w:w="120"/>
              <w:left w:type="dxa" w:w="200"/>
              <w:bottom w:type="dxa" w:w="120"/>
              <w:right w:type="dxa" w:w="200"/>
            </w:tcMar>
          </w:tcPr>
          <w:p>
            <w:pPr>
              <w:spacing w:after="80" w:before="0"/>
            </w:pPr>
            <w:r>
              <w:rPr>
                <w:b/>
                <w:bCs/>
                <w:color w:val="009A5C"/>
                <w:sz w:val="22"/>
                <w:szCs w:val="22"/>
              </w:rPr>
              <w:t xml:space="preserve">Value proof</w:t>
            </w:r>
          </w:p>
          <w:p>
            <w:pPr>
              <w:spacing w:after="30" w:before="30"/>
            </w:pPr>
            <w:r>
              <w:rPr>
                <w:color w:val="1F2937"/>
                <w:sz w:val="20"/>
                <w:szCs w:val="20"/>
              </w:rPr>
              <w:t xml:space="preserve">AI governance sold as a distinct plane; an attestation pack used in a real customer audit; a second</w:t>
            </w:r>
          </w:p>
          <w:p>
            <w:pPr>
              <w:spacing w:after="30" w:before="30"/>
            </w:pPr>
            <w:r>
              <w:rPr>
                <w:color w:val="1F2937"/>
                <w:sz w:val="20"/>
                <w:szCs w:val="20"/>
              </w:rPr>
              <w:t xml:space="preserve">vertical (insurance) live; and pipeline sourced through partners rather than only founder-led.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860"/>
        <w:gridCol w:w="760"/>
        <w:gridCol w:w="1180"/>
        <w:gridCol w:w="1080"/>
        <w:gridCol w:w="1080"/>
        <w:gridCol w:w="1040"/>
      </w:tblGrid>
      <w:tr>
        <w:trPr>
          <w:tblHeader/>
        </w:trPr>
        <w:tc>
          <w:tcPr>
            <w:tcW w:type="dxa" w:w="33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Capability</w:t>
            </w:r>
          </w:p>
        </w:tc>
        <w:tc>
          <w:tcPr>
            <w:tcW w:type="dxa" w:w="8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Track</w:t>
            </w:r>
          </w:p>
        </w:tc>
        <w:tc>
          <w:tcPr>
            <w:tcW w:type="dxa" w:w="7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Size</w:t>
            </w:r>
          </w:p>
        </w:tc>
        <w:tc>
          <w:tcPr>
            <w:tcW w:type="dxa" w:w="118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Eng-weeks</w:t>
            </w:r>
          </w:p>
        </w:tc>
        <w:tc>
          <w:tcPr>
            <w:tcW w:type="dxa" w:w="108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Mkt</w:t>
            </w:r>
          </w:p>
        </w:tc>
        <w:tc>
          <w:tcPr>
            <w:tcW w:type="dxa" w:w="108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Cost</w:t>
            </w:r>
          </w:p>
        </w:tc>
        <w:tc>
          <w:tcPr>
            <w:tcW w:type="dxa" w:w="104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Sales</w:t>
            </w:r>
          </w:p>
        </w:tc>
      </w:tr>
      <w:tr>
        <w:tc>
          <w:tcPr>
            <w:tcW w:type="dxa" w:w="33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A6 · Data reliability layer</w:t>
            </w:r>
          </w:p>
        </w:tc>
        <w:tc>
          <w:tcPr>
            <w:tcW w:type="dxa" w:w="8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1F2937"/>
                <w:sz w:val="18"/>
                <w:szCs w:val="18"/>
              </w:rPr>
              <w:t xml:space="preserve">A</w:t>
            </w:r>
          </w:p>
        </w:tc>
        <w:tc>
          <w:tcPr>
            <w:tcW w:type="dxa" w:w="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6B7280"/>
                <w:sz w:val="18"/>
                <w:szCs w:val="18"/>
              </w:rPr>
              <w:t xml:space="preserve">L</w:t>
            </w:r>
          </w:p>
        </w:tc>
        <w:tc>
          <w:tcPr>
            <w:tcW w:type="dxa" w:w="11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val="false"/>
                <w:bCs w:val="false"/>
                <w:color w:val="1F2937"/>
                <w:sz w:val="18"/>
                <w:szCs w:val="18"/>
              </w:rPr>
              <w:t xml:space="preserve">12–20</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4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r>
      <w:tr>
        <w:tc>
          <w:tcPr>
            <w:tcW w:type="dxa" w:w="3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B4 · AI system inventory &amp; risk registry (ISO 42001 / EU AI Act / NIST)</w:t>
            </w:r>
          </w:p>
        </w:tc>
        <w:tc>
          <w:tcPr>
            <w:tcW w:type="dxa" w:w="8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009A5C"/>
                <w:sz w:val="18"/>
                <w:szCs w:val="18"/>
              </w:rPr>
              <w:t xml:space="preserve">B</w:t>
            </w:r>
          </w:p>
        </w:tc>
        <w:tc>
          <w:tcPr>
            <w:tcW w:type="dxa" w:w="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6B7280"/>
                <w:sz w:val="18"/>
                <w:szCs w:val="18"/>
              </w:rPr>
              <w:t xml:space="preserve">L</w:t>
            </w:r>
          </w:p>
        </w:tc>
        <w:tc>
          <w:tcPr>
            <w:tcW w:type="dxa" w:w="11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val="false"/>
                <w:bCs w:val="false"/>
                <w:color w:val="1F2937"/>
                <w:sz w:val="18"/>
                <w:szCs w:val="18"/>
              </w:rPr>
              <w:t xml:space="preserve">12–20</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4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r>
      <w:tr>
        <w:tc>
          <w:tcPr>
            <w:tcW w:type="dxa" w:w="33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B5 · Evaluation, monitoring &amp; attestation packs</w:t>
            </w:r>
          </w:p>
        </w:tc>
        <w:tc>
          <w:tcPr>
            <w:tcW w:type="dxa" w:w="8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009A5C"/>
                <w:sz w:val="18"/>
                <w:szCs w:val="18"/>
              </w:rPr>
              <w:t xml:space="preserve">B</w:t>
            </w:r>
          </w:p>
        </w:tc>
        <w:tc>
          <w:tcPr>
            <w:tcW w:type="dxa" w:w="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color w:val="6B7280"/>
                <w:sz w:val="18"/>
                <w:szCs w:val="18"/>
              </w:rPr>
              <w:t xml:space="preserve">L</w:t>
            </w:r>
          </w:p>
        </w:tc>
        <w:tc>
          <w:tcPr>
            <w:tcW w:type="dxa" w:w="11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val="false"/>
                <w:bCs w:val="false"/>
                <w:color w:val="1F2937"/>
                <w:sz w:val="18"/>
                <w:szCs w:val="18"/>
              </w:rPr>
              <w:t xml:space="preserve">12–20</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8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c>
          <w:tcPr>
            <w:tcW w:type="dxa" w:w="104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r>
      <w:tr>
        <w:tc>
          <w:tcPr>
            <w:tcW w:type="dxa" w:w="3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Admin console + GRC/SIEM connectors</w:t>
            </w:r>
          </w:p>
        </w:tc>
        <w:tc>
          <w:tcPr>
            <w:tcW w:type="dxa" w:w="8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009A5C"/>
                <w:sz w:val="18"/>
                <w:szCs w:val="18"/>
              </w:rPr>
              <w:t xml:space="preserve">B</w:t>
            </w:r>
          </w:p>
        </w:tc>
        <w:tc>
          <w:tcPr>
            <w:tcW w:type="dxa" w:w="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color w:val="6B7280"/>
                <w:sz w:val="18"/>
                <w:szCs w:val="18"/>
              </w:rPr>
              <w:t xml:space="preserve">M</w:t>
            </w:r>
          </w:p>
        </w:tc>
        <w:tc>
          <w:tcPr>
            <w:tcW w:type="dxa" w:w="11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val="false"/>
                <w:bCs w:val="false"/>
                <w:color w:val="1F2937"/>
                <w:sz w:val="18"/>
                <w:szCs w:val="18"/>
              </w:rPr>
              <w:t xml:space="preserve">6–10</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047857"/>
                <w:sz w:val="18"/>
                <w:szCs w:val="18"/>
              </w:rPr>
              <w:t xml:space="preserve">L</w:t>
            </w:r>
          </w:p>
        </w:tc>
        <w:tc>
          <w:tcPr>
            <w:tcW w:type="dxa" w:w="10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c>
          <w:tcPr>
            <w:tcW w:type="dxa" w:w="104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center"/>
            </w:pPr>
            <w:r>
              <w:rPr>
                <w:b/>
                <w:bCs/>
                <w:i w:val="false"/>
                <w:iCs w:val="false"/>
                <w:color w:val="B45309"/>
                <w:sz w:val="18"/>
                <w:szCs w:val="18"/>
              </w:rPr>
              <w:t xml:space="preserve">M</w:t>
            </w:r>
          </w:p>
        </w:tc>
      </w:tr>
      <w:tr>
        <w:tc>
          <w:tcPr>
            <w:tcW w:type="dxa" w:w="336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bCs/>
                <w:i w:val="false"/>
                <w:iCs w:val="false"/>
                <w:color w:val="1F2937"/>
                <w:sz w:val="18"/>
                <w:szCs w:val="18"/>
              </w:rPr>
              <w:t xml:space="preserve">Stage build subtotal</w:t>
            </w:r>
          </w:p>
        </w:tc>
        <w:tc>
          <w:tcPr>
            <w:tcW w:type="dxa" w:w="86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76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118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center"/>
            </w:pPr>
            <w:r>
              <w:rPr>
                <w:b/>
                <w:bCs/>
                <w:i w:val="false"/>
                <w:iCs w:val="false"/>
                <w:color w:val="009A5C"/>
                <w:sz w:val="18"/>
                <w:szCs w:val="18"/>
              </w:rPr>
              <w:t xml:space="preserve">≈ 42–70</w:t>
            </w:r>
          </w:p>
        </w:tc>
        <w:tc>
          <w:tcPr>
            <w:tcW w:type="dxa" w:w="108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108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c>
          <w:tcPr>
            <w:tcW w:type="dxa" w:w="1040"/>
            <w:tcBorders>
              <w:top w:val="single" w:color="D1D5DB" w:sz="1"/>
              <w:left w:val="single" w:color="D1D5DB" w:sz="1"/>
              <w:bottom w:val="single" w:color="D1D5DB" w:sz="1"/>
              <w:right w:val="single" w:color="D1D5DB" w:sz="1"/>
            </w:tcBorders>
            <w:shd w:fill="EAF7F1" w:val="clear"/>
            <w:tcMar>
              <w:top w:type="dxa" w:w="60"/>
              <w:left w:type="dxa" w:w="110"/>
              <w:bottom w:type="dxa" w:w="60"/>
              <w:right w:type="dxa" w:w="110"/>
            </w:tcMar>
            <w:vAlign w:val="center"/>
          </w:tcPr>
          <w:p>
            <w:pPr>
              <w:jc w:val="left"/>
            </w:pPr>
            <w:r>
              <w:rPr>
                <w:b w:val="false"/>
                <w:bCs w:val="false"/>
                <w:color w:val="1F2937"/>
                <w:sz w:val="18"/>
                <w:szCs w:val="18"/>
              </w:rPr>
              <w:t xml:space="preserve"/>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Validate</w:t>
            </w:r>
          </w:p>
        </w:tc>
        <w:tc>
          <w:tcPr>
            <w:tcW w:type="dxa" w:w="312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Sell</w:t>
            </w:r>
          </w:p>
        </w:tc>
        <w:tc>
          <w:tcPr>
            <w:tcW w:type="dxa" w:w="312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center"/>
            </w:pPr>
            <w:r>
              <w:rPr>
                <w:b/>
                <w:bCs/>
                <w:color w:val="FFFFFF"/>
                <w:sz w:val="18"/>
                <w:szCs w:val="18"/>
              </w:rPr>
              <w:t xml:space="preserve">Partner</w:t>
            </w:r>
          </w:p>
        </w:tc>
      </w:tr>
      <w:tr>
        <w:tc>
          <w:tcPr>
            <w:tcW w:type="dxa" w:w="312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i w:val="false"/>
                <w:iCs w:val="false"/>
                <w:color w:val="1F2937"/>
                <w:sz w:val="18"/>
                <w:szCs w:val="18"/>
              </w:rPr>
              <w:t xml:space="preserve">Prove the second revenue stream and partner-led scale.</w:t>
            </w:r>
          </w:p>
        </w:tc>
        <w:tc>
          <w:tcPr>
            <w:tcW w:type="dxa" w:w="312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i w:val="false"/>
                <w:iCs w:val="false"/>
                <w:color w:val="1F2937"/>
                <w:sz w:val="18"/>
                <w:szCs w:val="18"/>
              </w:rPr>
              <w:t xml:space="preserve">Sell AI governance as a separate plane to the risk/compliance budget; open insurance; discover media and energy.</w:t>
            </w:r>
          </w:p>
        </w:tc>
        <w:tc>
          <w:tcPr>
            <w:tcW w:type="dxa" w:w="312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i w:val="false"/>
                <w:iCs w:val="false"/>
                <w:color w:val="1F2937"/>
                <w:sz w:val="18"/>
                <w:szCs w:val="18"/>
              </w:rPr>
              <w:t xml:space="preserve">Big 4 implementation + attestation co-delivery; GRC integrations live; cloud marketplace co-sell.</w:t>
            </w:r>
          </w:p>
        </w:tc>
      </w:tr>
    </w:tbl>
    <w:p>
      <w:r>
        <w:br w:type="page"/>
      </w:r>
    </w:p>
    <w:p>
      <w:pPr>
        <w:spacing w:after="40" w:before="240"/>
      </w:pPr>
      <w:r>
        <w:rPr>
          <w:b/>
          <w:bCs/>
          <w:color w:val="009A5C"/>
          <w:sz w:val="18"/>
          <w:szCs w:val="18"/>
        </w:rPr>
        <w:t xml:space="preserve">SECTION 7</w:t>
      </w:r>
    </w:p>
    <w:p>
      <w:pPr>
        <w:pStyle w:val="Heading1"/>
      </w:pPr>
      <w:r>
        <w:t xml:space="preserve">Reasoning &amp; Trade-offs</w:t>
      </w:r>
    </w:p>
    <w:p>
      <w:pPr>
        <w:spacing w:after="150" w:before="60"/>
      </w:pPr>
      <w:r>
        <w:rPr>
          <w:color w:val="1F2937"/>
          <w:sz w:val="22"/>
          <w:szCs w:val="22"/>
        </w:rPr>
        <w:t xml:space="preserve">This section makes the sequencing logic explicit, so leadership can interrogate the decisions rather than the outputs.</w:t>
      </w:r>
    </w:p>
    <w:p>
      <w:pPr>
        <w:pStyle w:val="Heading2"/>
      </w:pPr>
      <w:r>
        <w:t xml:space="preserve">7.1  Why this order</w:t>
      </w:r>
    </w:p>
    <w:p>
      <w:pPr>
        <w:pStyle w:val="ListParagraph"/>
        <w:numPr>
          <w:ilvl w:val="0"/>
          <w:numId w:val="2"/>
        </w:numPr>
        <w:spacing w:after="30" w:before="30"/>
      </w:pPr>
      <w:r>
        <w:rPr>
          <w:b/>
          <w:bCs/>
          <w:i w:val="false"/>
          <w:iCs w:val="false"/>
          <w:color w:val="1F2937"/>
          <w:sz w:val="22"/>
          <w:szCs w:val="22"/>
        </w:rPr>
        <w:t xml:space="preserve">The gateway and telemetry come first </w:t>
      </w:r>
      <w:r>
        <w:rPr>
          <w:b w:val="false"/>
          <w:bCs w:val="false"/>
          <w:i w:val="false"/>
          <w:iCs w:val="false"/>
          <w:color w:val="1F2937"/>
          <w:sz w:val="22"/>
          <w:szCs w:val="22"/>
        </w:rPr>
        <w:t xml:space="preserve">because nothing — interrogation, governance, audit — functions without them, and telemetry captured from day one is what makes later governance provably auditable. Building it later means re-instrumenting everything.</w:t>
      </w:r>
    </w:p>
    <w:p>
      <w:pPr>
        <w:pStyle w:val="ListParagraph"/>
        <w:numPr>
          <w:ilvl w:val="0"/>
          <w:numId w:val="2"/>
        </w:numPr>
        <w:spacing w:after="30" w:before="30"/>
      </w:pPr>
      <w:r>
        <w:rPr>
          <w:b/>
          <w:bCs/>
          <w:i w:val="false"/>
          <w:iCs w:val="false"/>
          <w:color w:val="1F2937"/>
          <w:sz w:val="22"/>
          <w:szCs w:val="22"/>
        </w:rPr>
        <w:t xml:space="preserve">Governance is seeded in Stage 1, not deferred to Stage 3, </w:t>
      </w:r>
      <w:r>
        <w:rPr>
          <w:b w:val="false"/>
          <w:bCs w:val="false"/>
          <w:i w:val="false"/>
          <w:iCs w:val="false"/>
          <w:color w:val="1F2937"/>
          <w:sz w:val="22"/>
          <w:szCs w:val="22"/>
        </w:rPr>
        <w:t xml:space="preserve">because “auditable AI answers” must be native to the interrogation layer. Retrofitting access control and provenance onto a shipped product is both costly and unconvincing to an auditor.</w:t>
      </w:r>
    </w:p>
    <w:p>
      <w:pPr>
        <w:pStyle w:val="ListParagraph"/>
        <w:numPr>
          <w:ilvl w:val="0"/>
          <w:numId w:val="2"/>
        </w:numPr>
        <w:spacing w:after="30" w:before="30"/>
      </w:pPr>
      <w:r>
        <w:rPr>
          <w:b/>
          <w:bCs/>
          <w:i w:val="false"/>
          <w:iCs w:val="false"/>
          <w:color w:val="1F2937"/>
          <w:sz w:val="22"/>
          <w:szCs w:val="22"/>
        </w:rPr>
        <w:t xml:space="preserve">The smallest wedge is proven before the platform is finished, </w:t>
      </w:r>
      <w:r>
        <w:rPr>
          <w:b w:val="false"/>
          <w:bCs w:val="false"/>
          <w:i w:val="false"/>
          <w:iCs w:val="false"/>
          <w:color w:val="1F2937"/>
          <w:sz w:val="22"/>
          <w:szCs w:val="22"/>
        </w:rPr>
        <w:t xml:space="preserve">because a five-person team cannot afford to build for 18 months before learning whether the market pays for governance. Stage 1 buys that learning cheaply.</w:t>
      </w:r>
    </w:p>
    <w:p>
      <w:pPr>
        <w:pStyle w:val="Heading2"/>
      </w:pPr>
      <w:r>
        <w:t xml:space="preserve">7.2  The trade-offs we are accepting</w:t>
      </w:r>
    </w:p>
    <w:p>
      <w:pPr>
        <w:pStyle w:val="ListParagraph"/>
        <w:numPr>
          <w:ilvl w:val="0"/>
          <w:numId w:val="2"/>
        </w:numPr>
        <w:spacing w:after="30" w:before="30"/>
      </w:pPr>
      <w:r>
        <w:rPr>
          <w:b/>
          <w:bCs/>
          <w:i w:val="false"/>
          <w:iCs w:val="false"/>
          <w:color w:val="1F2937"/>
          <w:sz w:val="22"/>
          <w:szCs w:val="22"/>
        </w:rPr>
        <w:t xml:space="preserve">Partner-first semantic layer </w:t>
      </w:r>
      <w:r>
        <w:rPr>
          <w:b w:val="false"/>
          <w:bCs w:val="false"/>
          <w:i w:val="false"/>
          <w:iCs w:val="false"/>
          <w:color w:val="1F2937"/>
          <w:sz w:val="22"/>
          <w:szCs w:val="22"/>
        </w:rPr>
        <w:t xml:space="preserve">trades some long-term margin and control for near-term speed and conserved engineering. We accept it because the semantic layer is not our moat; governance is.</w:t>
      </w:r>
    </w:p>
    <w:p>
      <w:pPr>
        <w:pStyle w:val="ListParagraph"/>
        <w:numPr>
          <w:ilvl w:val="0"/>
          <w:numId w:val="2"/>
        </w:numPr>
        <w:spacing w:after="30" w:before="30"/>
      </w:pPr>
      <w:r>
        <w:rPr>
          <w:b/>
          <w:bCs/>
          <w:i w:val="false"/>
          <w:iCs w:val="false"/>
          <w:color w:val="1F2937"/>
          <w:sz w:val="22"/>
          <w:szCs w:val="22"/>
        </w:rPr>
        <w:t xml:space="preserve">Governance-in-from-the-start </w:t>
      </w:r>
      <w:r>
        <w:rPr>
          <w:b w:val="false"/>
          <w:bCs w:val="false"/>
          <w:i w:val="false"/>
          <w:iCs w:val="false"/>
          <w:color w:val="1F2937"/>
          <w:sz w:val="22"/>
          <w:szCs w:val="22"/>
        </w:rPr>
        <w:t xml:space="preserve">adds cost to Stage 1 (B1/B2 seeds) that a pure “ship chat first” approach would avoid. We accept it because the differentiator is exactly the governance, and retrofit cost is higher.</w:t>
      </w:r>
    </w:p>
    <w:p>
      <w:pPr>
        <w:pStyle w:val="ListParagraph"/>
        <w:numPr>
          <w:ilvl w:val="0"/>
          <w:numId w:val="2"/>
        </w:numPr>
        <w:spacing w:after="30" w:before="30"/>
      </w:pPr>
      <w:r>
        <w:rPr>
          <w:b/>
          <w:bCs/>
          <w:i w:val="false"/>
          <w:iCs w:val="false"/>
          <w:color w:val="1F2937"/>
          <w:sz w:val="22"/>
          <w:szCs w:val="22"/>
        </w:rPr>
        <w:t xml:space="preserve">A deliberately narrow Stage 1 </w:t>
      </w:r>
      <w:r>
        <w:rPr>
          <w:b w:val="false"/>
          <w:bCs w:val="false"/>
          <w:i w:val="false"/>
          <w:iCs w:val="false"/>
          <w:color w:val="1F2937"/>
          <w:sz w:val="22"/>
          <w:szCs w:val="22"/>
        </w:rPr>
        <w:t xml:space="preserve">trades breadth of demo for depth of proof. We accept a less flashy first release in exchange for a credible, defensible wedge.</w:t>
      </w:r>
    </w:p>
    <w:p>
      <w:pPr>
        <w:pStyle w:val="ListParagraph"/>
        <w:numPr>
          <w:ilvl w:val="0"/>
          <w:numId w:val="2"/>
        </w:numPr>
        <w:spacing w:after="30" w:before="30"/>
      </w:pPr>
      <w:r>
        <w:rPr>
          <w:b/>
          <w:bCs/>
          <w:i w:val="false"/>
          <w:iCs w:val="false"/>
          <w:color w:val="1F2937"/>
          <w:sz w:val="22"/>
          <w:szCs w:val="22"/>
        </w:rPr>
        <w:t xml:space="preserve">The MCP protocol bet </w:t>
      </w:r>
      <w:r>
        <w:rPr>
          <w:b w:val="false"/>
          <w:bCs w:val="false"/>
          <w:i w:val="false"/>
          <w:iCs w:val="false"/>
          <w:color w:val="1F2937"/>
          <w:sz w:val="22"/>
          <w:szCs w:val="22"/>
        </w:rPr>
        <w:t xml:space="preserve">concentrates risk in one interface. We mitigate by keeping MCP a thin adapter over a protocol-agnostic governed core, so a standards shift is an adapter change, not a rebuild.</w:t>
      </w:r>
    </w:p>
    <w:p>
      <w:pPr>
        <w:pStyle w:val="ListParagraph"/>
        <w:numPr>
          <w:ilvl w:val="0"/>
          <w:numId w:val="2"/>
        </w:numPr>
        <w:spacing w:after="30" w:before="30"/>
      </w:pPr>
      <w:r>
        <w:rPr>
          <w:b/>
          <w:bCs/>
          <w:i w:val="false"/>
          <w:iCs w:val="false"/>
          <w:color w:val="1F2937"/>
          <w:sz w:val="22"/>
          <w:szCs w:val="22"/>
        </w:rPr>
        <w:t xml:space="preserve">Deferral valves (A5, the deep end of B3) </w:t>
      </w:r>
      <w:r>
        <w:rPr>
          <w:b w:val="false"/>
          <w:bCs w:val="false"/>
          <w:i w:val="false"/>
          <w:iCs w:val="false"/>
          <w:color w:val="1F2937"/>
          <w:sz w:val="22"/>
          <w:szCs w:val="22"/>
        </w:rPr>
        <w:t xml:space="preserve">are named in advance so that if velocity lags, we cut on plan rather than slipping every date.</w:t>
      </w:r>
    </w:p>
    <w:p>
      <w:pPr>
        <w:spacing w:after="40" w:before="240"/>
      </w:pPr>
      <w:r>
        <w:rPr>
          <w:b/>
          <w:bCs/>
          <w:color w:val="009A5C"/>
          <w:sz w:val="18"/>
          <w:szCs w:val="18"/>
        </w:rPr>
        <w:t xml:space="preserve">SECTION 8</w:t>
      </w:r>
    </w:p>
    <w:p>
      <w:pPr>
        <w:pStyle w:val="Heading1"/>
      </w:pPr>
      <w:r>
        <w:t xml:space="preserve">The Value Proposition</w:t>
      </w:r>
    </w:p>
    <w:p>
      <w:pPr>
        <w:spacing w:after="150" w:before="60"/>
      </w:pPr>
      <w:r>
        <w:rPr>
          <w:color w:val="1F2937"/>
          <w:sz w:val="22"/>
          <w:szCs w:val="22"/>
        </w:rPr>
        <w:t xml:space="preserve">What each constituency gets, and why it is defensible.</w:t>
      </w:r>
    </w:p>
    <w:p>
      <w:pPr>
        <w:pStyle w:val="Heading2"/>
      </w:pPr>
      <w:r>
        <w:t xml:space="preserve">8.1  For the enterprise customer</w:t>
      </w:r>
    </w:p>
    <w:p>
      <w:pPr>
        <w:spacing w:after="150" w:before="60"/>
      </w:pPr>
      <w:r>
        <w:rPr>
          <w:color w:val="1F2937"/>
          <w:sz w:val="22"/>
          <w:szCs w:val="22"/>
        </w:rPr>
        <w:t xml:space="preserve">A single, neutral place to prove and enforce how AI uses their data: who (which model or agent) accessed what, under which policy, with what provenance, and with the audit evidence a regulator or auditor will accept. Not documentation of governance — enforcement of it, at query time, across clouds and tenants.</w:t>
      </w:r>
    </w:p>
    <w:p>
      <w:pPr>
        <w:pStyle w:val="Heading2"/>
      </w:pPr>
      <w:r>
        <w:t xml:space="preserve">8.2  For Revelate</w:t>
      </w:r>
    </w:p>
    <w:p>
      <w:pPr>
        <w:spacing w:after="150" w:before="60"/>
      </w:pPr>
      <w:r>
        <w:rPr>
          <w:color w:val="1F2937"/>
          <w:sz w:val="22"/>
          <w:szCs w:val="22"/>
        </w:rPr>
        <w:t xml:space="preserve">AI governance is stickier than data delivery. It embeds into audit and compliance cycles, becomes a system of record with high switching cost, and opens a second budget pool (risk/compliance) and a second revenue stream (the governance plane). Regulation supplies the urgency and the budget; the existing governance engine supplies the unfair advantage.</w:t>
      </w:r>
    </w:p>
    <w:p>
      <w:pPr>
        <w:pStyle w:val="Heading2"/>
      </w:pPr>
      <w:r>
        <w:t xml:space="preserve">8.3  Why it holds against the field</w:t>
      </w:r>
    </w:p>
    <w:p>
      <w:pPr>
        <w:spacing w:after="150" w:before="60"/>
      </w:pPr>
      <w:r>
        <w:rPr>
          <w:color w:val="1F2937"/>
          <w:sz w:val="22"/>
          <w:szCs w:val="22"/>
        </w:rPr>
        <w:t xml:space="preserve">Cloud platforms optimise for data in their own environment — their AI governance is single-cloud and single-tenant by design. Point AI-governance tools document and score risk but sit on no enforcement substrate. Revelate is the only position that combines a live, cross-cloud, multi-tenant enforcement engine with the AI-governance overlay on top of it. That is the moat, and it compounds with every governed data product and every audit cycle.</w:t>
      </w:r>
    </w:p>
    <w:p>
      <w:r>
        <w:br w:type="page"/>
      </w:r>
    </w:p>
    <w:p>
      <w:pPr>
        <w:spacing w:after="40" w:before="240"/>
      </w:pPr>
      <w:r>
        <w:rPr>
          <w:b/>
          <w:bCs/>
          <w:color w:val="009A5C"/>
          <w:sz w:val="18"/>
          <w:szCs w:val="18"/>
        </w:rPr>
        <w:t xml:space="preserve">SECTION 9</w:t>
      </w:r>
    </w:p>
    <w:p>
      <w:pPr>
        <w:pStyle w:val="Heading1"/>
      </w:pPr>
      <w:r>
        <w:t xml:space="preserve">The Self-Funding Growth Model</w:t>
      </w:r>
    </w:p>
    <w:p>
      <w:pPr>
        <w:spacing w:after="150" w:before="60"/>
      </w:pPr>
      <w:r>
        <w:rPr>
          <w:color w:val="1F2937"/>
          <w:sz w:val="22"/>
          <w:szCs w:val="22"/>
        </w:rPr>
        <w:t xml:space="preserve">The plan is scoped to five engineers on purpose. Speed past the early stages is bought with validated revenue, not with headcount added ahead of proof. Each hiring gate below opens only when its evidence exists.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60"/>
        <w:gridCol w:w="3300"/>
      </w:tblGrid>
      <w:tr>
        <w:trPr>
          <w:tblHeader/>
        </w:trPr>
        <w:tc>
          <w:tcPr>
            <w:tcW w:type="dxa" w:w="150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Gate</w:t>
            </w:r>
          </w:p>
        </w:tc>
        <w:tc>
          <w:tcPr>
            <w:tcW w:type="dxa" w:w="45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Evidence required to open it</w:t>
            </w:r>
          </w:p>
        </w:tc>
        <w:tc>
          <w:tcPr>
            <w:tcW w:type="dxa" w:w="330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What it unlocks</w:t>
            </w:r>
          </w:p>
        </w:tc>
      </w:tr>
      <w:tr>
        <w:tc>
          <w:tcPr>
            <w:tcW w:type="dxa" w:w="15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Baseline</w:t>
            </w:r>
          </w:p>
        </w:tc>
        <w:tc>
          <w:tcPr>
            <w:tcW w:type="dxa" w:w="45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Today’s team of five</w:t>
            </w:r>
          </w:p>
        </w:tc>
        <w:tc>
          <w:tcPr>
            <w:tcW w:type="dxa" w:w="33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Funds Stage 1 and the start of Stage 2. No new hiring until Gate 1.</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bCs/>
                <w:color w:val="1F2937"/>
                <w:sz w:val="18"/>
                <w:szCs w:val="18"/>
              </w:rPr>
              <w:t xml:space="preserve">Gate 1 — Demand</w:t>
            </w:r>
          </w:p>
        </w:tc>
        <w:tc>
          <w:tcPr>
            <w:tcW w:type="dxa" w:w="45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2–3 signed design partners actively using governed AI access, with documented willingness to pay for governance</w:t>
            </w:r>
          </w:p>
        </w:tc>
        <w:tc>
          <w:tcPr>
            <w:tcW w:type="dxa" w:w="33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+1–2 engineers to firm up the platform and begin Stage 2 in earnest</w:t>
            </w:r>
          </w:p>
        </w:tc>
      </w:tr>
      <w:tr>
        <w:tc>
          <w:tcPr>
            <w:tcW w:type="dxa" w:w="15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Gate 2 — Revenue</w:t>
            </w:r>
          </w:p>
        </w:tc>
        <w:tc>
          <w:tcPr>
            <w:tcW w:type="dxa" w:w="45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First paid conversions, governance attach at a premium, and a defined incremental-ARR threshold from governed AI</w:t>
            </w:r>
          </w:p>
        </w:tc>
        <w:tc>
          <w:tcPr>
            <w:tcW w:type="dxa" w:w="33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+2–3 engineers to parallelise Stage 3 and hold the ~24-month line</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bCs/>
                <w:color w:val="1F2937"/>
                <w:sz w:val="18"/>
                <w:szCs w:val="18"/>
              </w:rPr>
              <w:t xml:space="preserve">Gate 3 — Scale</w:t>
            </w:r>
          </w:p>
        </w:tc>
        <w:tc>
          <w:tcPr>
            <w:tcW w:type="dxa" w:w="45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Partner-sourced pipeline and validated second revenue stream (the governance plane)</w:t>
            </w:r>
          </w:p>
        </w:tc>
        <w:tc>
          <w:tcPr>
            <w:tcW w:type="dxa" w:w="33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Scale the team to compress the roadmap and open further verticals</w:t>
            </w:r>
          </w:p>
        </w:tc>
      </w:tr>
    </w:tbl>
    <w:p>
      <w:pPr>
        <w:spacing w:after="0" w:before="120"/>
      </w:pPr>
      <w:r>
        <w:t xml:space="preserve"/>
      </w:r>
    </w:p>
    <w:p>
      <w:pPr>
        <w:spacing w:after="150" w:before="60"/>
      </w:pPr>
      <w:r>
        <w:rPr>
          <w:b/>
          <w:bCs/>
          <w:i w:val="false"/>
          <w:iCs w:val="false"/>
          <w:color w:val="1F2937"/>
          <w:sz w:val="22"/>
          <w:szCs w:val="22"/>
        </w:rPr>
        <w:t xml:space="preserve">The principle, stated plainly: </w:t>
      </w:r>
      <w:r>
        <w:rPr>
          <w:b w:val="false"/>
          <w:bCs w:val="false"/>
          <w:i w:val="false"/>
          <w:iCs w:val="false"/>
          <w:color w:val="1F2937"/>
          <w:sz w:val="22"/>
          <w:szCs w:val="22"/>
        </w:rPr>
        <w:t xml:space="preserve">engineering headcount is a lagging function of validated demand and revenue — never a leading bet on it. This keeps burn disciplined, keeps the team’s output-per-head story intact, and means every added engineer is paid for by demand that already exists.</w:t>
      </w:r>
    </w:p>
    <w:p>
      <w:pPr>
        <w:spacing w:after="40" w:before="240"/>
      </w:pPr>
      <w:r>
        <w:rPr>
          <w:b/>
          <w:bCs/>
          <w:color w:val="009A5C"/>
          <w:sz w:val="18"/>
          <w:szCs w:val="18"/>
        </w:rPr>
        <w:t xml:space="preserve">SECTION 10</w:t>
      </w:r>
    </w:p>
    <w:p>
      <w:pPr>
        <w:pStyle w:val="Heading1"/>
      </w:pPr>
      <w:r>
        <w:t xml:space="preserve">Markets &amp; Industry Wedges</w:t>
      </w:r>
    </w:p>
    <w:p>
      <w:pPr>
        <w:spacing w:after="150" w:before="60"/>
      </w:pPr>
      <w:r>
        <w:rPr>
          <w:color w:val="1F2937"/>
          <w:sz w:val="22"/>
          <w:szCs w:val="22"/>
        </w:rPr>
        <w:t xml:space="preserve">Five industries, each with its own AI-governance forcing function and its own entry stage.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tblHeader/>
        </w:trPr>
        <w:tc>
          <w:tcPr>
            <w:tcW w:type="dxa" w:w="210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Industry</w:t>
            </w:r>
          </w:p>
        </w:tc>
        <w:tc>
          <w:tcPr>
            <w:tcW w:type="dxa" w:w="576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AI-governance wedge</w:t>
            </w:r>
          </w:p>
        </w:tc>
        <w:tc>
          <w:tcPr>
            <w:tcW w:type="dxa" w:w="1500"/>
            <w:tcBorders>
              <w:top w:val="single" w:color="D1D5DB" w:sz="1"/>
              <w:left w:val="single" w:color="D1D5DB" w:sz="1"/>
              <w:bottom w:val="single" w:color="D1D5DB" w:sz="1"/>
              <w:right w:val="single" w:color="D1D5DB" w:sz="1"/>
            </w:tcBorders>
            <w:shd w:fill="009A5C" w:val="clear"/>
            <w:tcMar>
              <w:top w:type="dxa" w:w="60"/>
              <w:left w:type="dxa" w:w="110"/>
              <w:bottom w:type="dxa" w:w="60"/>
              <w:right w:type="dxa" w:w="110"/>
            </w:tcMar>
            <w:vAlign w:val="center"/>
          </w:tcPr>
          <w:p>
            <w:pPr>
              <w:jc w:val="left"/>
            </w:pPr>
            <w:r>
              <w:rPr>
                <w:b/>
                <w:bCs/>
                <w:color w:val="FFFFFF"/>
                <w:sz w:val="18"/>
                <w:szCs w:val="18"/>
              </w:rPr>
              <w:t xml:space="preserve">Enters</w:t>
            </w:r>
          </w:p>
        </w:tc>
      </w:tr>
      <w:tr>
        <w:tc>
          <w:tcPr>
            <w:tcW w:type="dxa" w:w="21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Financial services</w:t>
            </w:r>
          </w:p>
        </w:tc>
        <w:tc>
          <w:tcPr>
            <w:tcW w:type="dxa" w:w="5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Model risk management lineage (SR 11-7); AI in credit, AML, and trading; explainability and audit. Highest regulatory intensity — the lead vertical.</w:t>
            </w:r>
          </w:p>
        </w:tc>
        <w:tc>
          <w:tcPr>
            <w:tcW w:type="dxa" w:w="15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Stage 1</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bCs/>
                <w:color w:val="1F2937"/>
                <w:sz w:val="18"/>
                <w:szCs w:val="18"/>
              </w:rPr>
              <w:t xml:space="preserve">Healthcare &amp; life sciences</w:t>
            </w:r>
          </w:p>
        </w:tc>
        <w:tc>
          <w:tcPr>
            <w:tcW w:type="dxa" w:w="5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PHI governance (HIPAA); provenance for clinical and FDA validation; consent and purpose limitation on AI use of patient data.</w:t>
            </w:r>
          </w:p>
        </w:tc>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Stage 1</w:t>
            </w:r>
          </w:p>
        </w:tc>
      </w:tr>
      <w:tr>
        <w:tc>
          <w:tcPr>
            <w:tcW w:type="dxa" w:w="21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Insurance</w:t>
            </w:r>
          </w:p>
        </w:tc>
        <w:tc>
          <w:tcPr>
            <w:tcW w:type="dxa" w:w="5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AI in underwriting, claims, and pricing; fairness and adverse-action explainability (NAIC model bulletin). High urgency, less crowded.</w:t>
            </w:r>
          </w:p>
        </w:tc>
        <w:tc>
          <w:tcPr>
            <w:tcW w:type="dxa" w:w="15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Stage 2</w:t>
            </w:r>
          </w:p>
        </w:tc>
      </w:tr>
      <w:tr>
        <w:tc>
          <w:tcPr>
            <w:tcW w:type="dxa" w:w="21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bCs/>
                <w:color w:val="1F2937"/>
                <w:sz w:val="18"/>
                <w:szCs w:val="18"/>
              </w:rPr>
              <w:t xml:space="preserve">Media &amp; advertising</w:t>
            </w:r>
          </w:p>
        </w:tc>
        <w:tc>
          <w:tcPr>
            <w:tcW w:type="dxa" w:w="5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Content provenance; training-data rights and consent; IP lineage for generative output; brand safety. A “rights governance” framing of the same engine.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jc w:val="left"/>
            </w:pPr>
            <w:r>
              <w:rPr>
                <w:b w:val="false"/>
                <w:bCs w:val="false"/>
                <w:color w:val="1F2937"/>
                <w:sz w:val="18"/>
                <w:szCs w:val="18"/>
              </w:rPr>
              <w:t xml:space="preserve">Stage 3</w:t>
            </w:r>
          </w:p>
        </w:tc>
      </w:tr>
      <w:tr>
        <w:tc>
          <w:tcPr>
            <w:tcW w:type="dxa" w:w="21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bCs/>
                <w:color w:val="1F2937"/>
                <w:sz w:val="18"/>
                <w:szCs w:val="18"/>
              </w:rPr>
              <w:t xml:space="preserve">Energy &amp; utilities</w:t>
            </w:r>
          </w:p>
        </w:tc>
        <w:tc>
          <w:tcPr>
            <w:tcW w:type="dxa" w:w="576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Critical-infrastructure data governance; safety-critical auditability for AI in grid and operations. Long cycle, high defensibility.</w:t>
            </w:r>
          </w:p>
        </w:tc>
        <w:tc>
          <w:tcPr>
            <w:tcW w:type="dxa" w:w="1500"/>
            <w:tcBorders>
              <w:top w:val="single" w:color="D1D5DB" w:sz="1"/>
              <w:left w:val="single" w:color="D1D5DB" w:sz="1"/>
              <w:bottom w:val="single" w:color="D1D5DB" w:sz="1"/>
              <w:right w:val="single" w:color="D1D5DB" w:sz="1"/>
            </w:tcBorders>
            <w:shd w:fill="F9FAFB" w:val="clear"/>
            <w:tcMar>
              <w:top w:type="dxa" w:w="60"/>
              <w:left w:type="dxa" w:w="110"/>
              <w:bottom w:type="dxa" w:w="60"/>
              <w:right w:type="dxa" w:w="110"/>
            </w:tcMar>
            <w:vAlign w:val="center"/>
          </w:tcPr>
          <w:p>
            <w:pPr>
              <w:jc w:val="left"/>
            </w:pPr>
            <w:r>
              <w:rPr>
                <w:b w:val="false"/>
                <w:bCs w:val="false"/>
                <w:color w:val="1F2937"/>
                <w:sz w:val="18"/>
                <w:szCs w:val="18"/>
              </w:rPr>
              <w:t xml:space="preserve">Stage 3</w:t>
            </w:r>
          </w:p>
        </w:tc>
      </w:tr>
    </w:tbl>
    <w:p>
      <w:r>
        <w:br w:type="page"/>
      </w:r>
    </w:p>
    <w:p>
      <w:pPr>
        <w:spacing w:after="40" w:before="240"/>
      </w:pPr>
      <w:r>
        <w:rPr>
          <w:b/>
          <w:bCs/>
          <w:color w:val="009A5C"/>
          <w:sz w:val="18"/>
          <w:szCs w:val="18"/>
        </w:rPr>
        <w:t xml:space="preserve">SECTION 11</w:t>
      </w:r>
    </w:p>
    <w:p>
      <w:pPr>
        <w:pStyle w:val="Heading1"/>
      </w:pPr>
      <w:r>
        <w:t xml:space="preserve">Partnerships</w:t>
      </w:r>
    </w:p>
    <w:p>
      <w:pPr>
        <w:spacing w:after="150" w:before="60"/>
      </w:pPr>
      <w:r>
        <w:rPr>
          <w:color w:val="1F2937"/>
          <w:sz w:val="22"/>
          <w:szCs w:val="22"/>
        </w:rPr>
        <w:t xml:space="preserve">Partnerships escalate in lockstep with the build — technical alignment first, then design and readiness, then live co-sell and attestation.</w:t>
      </w:r>
    </w:p>
    <w:p>
      <w:pPr>
        <w:pStyle w:val="ListParagraph"/>
        <w:numPr>
          <w:ilvl w:val="0"/>
          <w:numId w:val="2"/>
        </w:numPr>
        <w:spacing w:after="30" w:before="30"/>
      </w:pPr>
      <w:r>
        <w:rPr>
          <w:b/>
          <w:bCs/>
          <w:i w:val="false"/>
          <w:iCs w:val="false"/>
          <w:color w:val="1F2937"/>
          <w:sz w:val="22"/>
          <w:szCs w:val="22"/>
        </w:rPr>
        <w:t xml:space="preserve">Cloud platforms (Snowflake, Databricks, AWS, GCP, Azure) — </w:t>
      </w:r>
      <w:r>
        <w:rPr>
          <w:b w:val="false"/>
          <w:bCs w:val="false"/>
          <w:i w:val="false"/>
          <w:iCs w:val="false"/>
          <w:color w:val="1F2937"/>
          <w:sz w:val="22"/>
          <w:szCs w:val="22"/>
        </w:rPr>
        <w:t xml:space="preserve">neutral co-sell and marketplace reach; technical alignment from Stage 1, marketplace co-sell by Stage 3.</w:t>
      </w:r>
    </w:p>
    <w:p>
      <w:pPr>
        <w:pStyle w:val="ListParagraph"/>
        <w:numPr>
          <w:ilvl w:val="0"/>
          <w:numId w:val="2"/>
        </w:numPr>
        <w:spacing w:after="30" w:before="30"/>
      </w:pPr>
      <w:r>
        <w:rPr>
          <w:b/>
          <w:bCs/>
          <w:i w:val="false"/>
          <w:iCs w:val="false"/>
          <w:color w:val="1F2937"/>
          <w:sz w:val="22"/>
          <w:szCs w:val="22"/>
        </w:rPr>
        <w:t xml:space="preserve">GRC platforms (OneTrust, ServiceNow, Archer) — </w:t>
      </w:r>
      <w:r>
        <w:rPr>
          <w:b w:val="false"/>
          <w:bCs w:val="false"/>
          <w:i w:val="false"/>
          <w:iCs w:val="false"/>
          <w:color w:val="1F2937"/>
          <w:sz w:val="22"/>
          <w:szCs w:val="22"/>
        </w:rPr>
        <w:t xml:space="preserve">Revelate becomes the data/AI evidence layer feeding their risk workflows; integration design in Stage 2, live in Stage 3.</w:t>
      </w:r>
    </w:p>
    <w:p>
      <w:pPr>
        <w:pStyle w:val="ListParagraph"/>
        <w:numPr>
          <w:ilvl w:val="0"/>
          <w:numId w:val="2"/>
        </w:numPr>
        <w:spacing w:after="30" w:before="30"/>
      </w:pPr>
      <w:r>
        <w:rPr>
          <w:b/>
          <w:bCs/>
          <w:i w:val="false"/>
          <w:iCs w:val="false"/>
          <w:color w:val="1F2937"/>
          <w:sz w:val="22"/>
          <w:szCs w:val="22"/>
        </w:rPr>
        <w:t xml:space="preserve">Advisory / SI (Big 4 and responsible-AI boutiques) — </w:t>
      </w:r>
      <w:r>
        <w:rPr>
          <w:b w:val="false"/>
          <w:bCs w:val="false"/>
          <w:i w:val="false"/>
          <w:iCs w:val="false"/>
          <w:color w:val="1F2937"/>
          <w:sz w:val="22"/>
          <w:szCs w:val="22"/>
        </w:rPr>
        <w:t xml:space="preserve">ISO 42001 readiness, model validation, and implementation; they bring regulatory credibility and deals, Revelate brings the tooling.</w:t>
      </w:r>
    </w:p>
    <w:p>
      <w:pPr>
        <w:pStyle w:val="ListParagraph"/>
        <w:numPr>
          <w:ilvl w:val="0"/>
          <w:numId w:val="2"/>
        </w:numPr>
        <w:spacing w:after="30" w:before="30"/>
      </w:pPr>
      <w:r>
        <w:rPr>
          <w:b/>
          <w:bCs/>
          <w:i w:val="false"/>
          <w:iCs w:val="false"/>
          <w:color w:val="1F2937"/>
          <w:sz w:val="22"/>
          <w:szCs w:val="22"/>
        </w:rPr>
        <w:t xml:space="preserve">Certification bodies and auditors — </w:t>
      </w:r>
      <w:r>
        <w:rPr>
          <w:b w:val="false"/>
          <w:bCs w:val="false"/>
          <w:i w:val="false"/>
          <w:iCs w:val="false"/>
          <w:color w:val="1F2937"/>
          <w:sz w:val="22"/>
          <w:szCs w:val="22"/>
        </w:rPr>
        <w:t xml:space="preserve">partner so attestation packs are audit-ready out of the box; also the path to Revelate’s own ISO 42001.</w:t>
      </w:r>
    </w:p>
    <w:p>
      <w:pPr>
        <w:pStyle w:val="ListParagraph"/>
        <w:numPr>
          <w:ilvl w:val="0"/>
          <w:numId w:val="2"/>
        </w:numPr>
        <w:spacing w:after="30" w:before="30"/>
      </w:pPr>
      <w:r>
        <w:rPr>
          <w:b/>
          <w:bCs/>
          <w:i w:val="false"/>
          <w:iCs w:val="false"/>
          <w:color w:val="1F2937"/>
          <w:sz w:val="22"/>
          <w:szCs w:val="22"/>
        </w:rPr>
        <w:t xml:space="preserve">Model and semantic-layer partners (Anthropic and others; Cube/dbt) — </w:t>
      </w:r>
      <w:r>
        <w:rPr>
          <w:b w:val="false"/>
          <w:bCs w:val="false"/>
          <w:i w:val="false"/>
          <w:iCs w:val="false"/>
          <w:color w:val="1F2937"/>
          <w:sz w:val="22"/>
          <w:szCs w:val="22"/>
        </w:rPr>
        <w:t xml:space="preserve">governed access to models and metrics, with Revelate as the governance broker in front.</w:t>
      </w:r>
    </w:p>
    <w:p>
      <w:pPr>
        <w:spacing w:after="40" w:before="240"/>
      </w:pPr>
      <w:r>
        <w:rPr>
          <w:b/>
          <w:bCs/>
          <w:color w:val="009A5C"/>
          <w:sz w:val="18"/>
          <w:szCs w:val="18"/>
        </w:rPr>
        <w:t xml:space="preserve">SECTION 12</w:t>
      </w:r>
    </w:p>
    <w:p>
      <w:pPr>
        <w:pStyle w:val="Heading1"/>
      </w:pPr>
      <w:r>
        <w:t xml:space="preserve">Risks &amp; Mitigations</w:t>
      </w:r>
    </w:p>
    <w:p>
      <w:pPr>
        <w:pStyle w:val="ListParagraph"/>
        <w:numPr>
          <w:ilvl w:val="0"/>
          <w:numId w:val="2"/>
        </w:numPr>
        <w:spacing w:after="30" w:before="30"/>
      </w:pPr>
      <w:r>
        <w:rPr>
          <w:b/>
          <w:bCs/>
          <w:i w:val="false"/>
          <w:iCs w:val="false"/>
          <w:color w:val="1F2937"/>
          <w:sz w:val="22"/>
          <w:szCs w:val="22"/>
        </w:rPr>
        <w:t xml:space="preserve">Foundation dependency </w:t>
      </w:r>
      <w:r>
        <w:rPr>
          <w:b w:val="false"/>
          <w:bCs w:val="false"/>
          <w:i w:val="false"/>
          <w:iCs w:val="false"/>
          <w:color w:val="1F2937"/>
          <w:sz w:val="22"/>
          <w:szCs w:val="22"/>
        </w:rPr>
        <w:t xml:space="preserve">— the overlay needs the V2 platform to exist. Mitigation: interleave the tracks and seed governance into the platform build itself.</w:t>
      </w:r>
    </w:p>
    <w:p>
      <w:pPr>
        <w:pStyle w:val="ListParagraph"/>
        <w:numPr>
          <w:ilvl w:val="0"/>
          <w:numId w:val="2"/>
        </w:numPr>
        <w:spacing w:after="30" w:before="30"/>
      </w:pPr>
      <w:r>
        <w:rPr>
          <w:b/>
          <w:bCs/>
          <w:i w:val="false"/>
          <w:iCs w:val="false"/>
          <w:color w:val="1F2937"/>
          <w:sz w:val="22"/>
          <w:szCs w:val="22"/>
        </w:rPr>
        <w:t xml:space="preserve">Crowded AI-governance category </w:t>
      </w:r>
      <w:r>
        <w:rPr>
          <w:b w:val="false"/>
          <w:bCs w:val="false"/>
          <w:i w:val="false"/>
          <w:iCs w:val="false"/>
          <w:color w:val="1F2937"/>
          <w:sz w:val="22"/>
          <w:szCs w:val="22"/>
        </w:rPr>
        <w:t xml:space="preserve">— many entrants. Mitigation: compete on “enforce, not document,” and on neutral cross-cloud reach no point tool or single-cloud vendor can match.</w:t>
      </w:r>
    </w:p>
    <w:p>
      <w:pPr>
        <w:pStyle w:val="ListParagraph"/>
        <w:numPr>
          <w:ilvl w:val="0"/>
          <w:numId w:val="2"/>
        </w:numPr>
        <w:spacing w:after="30" w:before="30"/>
      </w:pPr>
      <w:r>
        <w:rPr>
          <w:b/>
          <w:bCs/>
          <w:i w:val="false"/>
          <w:iCs w:val="false"/>
          <w:color w:val="1F2937"/>
          <w:sz w:val="22"/>
          <w:szCs w:val="22"/>
        </w:rPr>
        <w:t xml:space="preserve">Capacity at five engineers </w:t>
      </w:r>
      <w:r>
        <w:rPr>
          <w:b w:val="false"/>
          <w:bCs w:val="false"/>
          <w:i w:val="false"/>
          <w:iCs w:val="false"/>
          <w:color w:val="1F2937"/>
          <w:sz w:val="22"/>
          <w:szCs w:val="22"/>
        </w:rPr>
        <w:t xml:space="preserve">— the arc is larger than the team. Mitigation: value-first staging, partner-first on the semantic layer, named deferral valves, and the self-funding hiring gates.</w:t>
      </w:r>
    </w:p>
    <w:p>
      <w:pPr>
        <w:pStyle w:val="ListParagraph"/>
        <w:numPr>
          <w:ilvl w:val="0"/>
          <w:numId w:val="2"/>
        </w:numPr>
        <w:spacing w:after="30" w:before="30"/>
      </w:pPr>
      <w:r>
        <w:rPr>
          <w:b/>
          <w:bCs/>
          <w:i w:val="false"/>
          <w:iCs w:val="false"/>
          <w:color w:val="1F2937"/>
          <w:sz w:val="22"/>
          <w:szCs w:val="22"/>
        </w:rPr>
        <w:t xml:space="preserve">Buyer education (B1 is a new concept) </w:t>
      </w:r>
      <w:r>
        <w:rPr>
          <w:b w:val="false"/>
          <w:bCs w:val="false"/>
          <w:i w:val="false"/>
          <w:iCs w:val="false"/>
          <w:color w:val="1F2937"/>
          <w:sz w:val="22"/>
          <w:szCs w:val="22"/>
        </w:rPr>
        <w:t xml:space="preserve">— the risk is teaching the market, not building. Mitigation: anchor to existing governance language and the regulatory forcing function; let advisory partners carry credibility.</w:t>
      </w:r>
    </w:p>
    <w:p>
      <w:pPr>
        <w:pStyle w:val="ListParagraph"/>
        <w:numPr>
          <w:ilvl w:val="0"/>
          <w:numId w:val="2"/>
        </w:numPr>
        <w:spacing w:after="30" w:before="30"/>
      </w:pPr>
      <w:r>
        <w:rPr>
          <w:b/>
          <w:bCs/>
          <w:i w:val="false"/>
          <w:iCs w:val="false"/>
          <w:color w:val="1F2937"/>
          <w:sz w:val="22"/>
          <w:szCs w:val="22"/>
        </w:rPr>
        <w:t xml:space="preserve">Sales cycles in regulated verticals </w:t>
      </w:r>
      <w:r>
        <w:rPr>
          <w:b w:val="false"/>
          <w:bCs w:val="false"/>
          <w:i w:val="false"/>
          <w:iCs w:val="false"/>
          <w:color w:val="1F2937"/>
          <w:sz w:val="22"/>
          <w:szCs w:val="22"/>
        </w:rPr>
        <w:t xml:space="preserve">— long and committee-driven. Mitigation: the design-partner motion and land-and-expand pricing shorten time-to-first-value.</w:t>
      </w:r>
    </w:p>
    <w:p>
      <w:pPr>
        <w:pStyle w:val="ListParagraph"/>
        <w:numPr>
          <w:ilvl w:val="0"/>
          <w:numId w:val="2"/>
        </w:numPr>
        <w:spacing w:after="30" w:before="30"/>
      </w:pPr>
      <w:r>
        <w:rPr>
          <w:b/>
          <w:bCs/>
          <w:i w:val="false"/>
          <w:iCs w:val="false"/>
          <w:color w:val="1F2937"/>
          <w:sz w:val="22"/>
          <w:szCs w:val="22"/>
        </w:rPr>
        <w:t xml:space="preserve">The MCP protocol bet </w:t>
      </w:r>
      <w:r>
        <w:rPr>
          <w:b w:val="false"/>
          <w:bCs w:val="false"/>
          <w:i w:val="false"/>
          <w:iCs w:val="false"/>
          <w:color w:val="1F2937"/>
          <w:sz w:val="22"/>
          <w:szCs w:val="22"/>
        </w:rPr>
        <w:t xml:space="preserve">— concentrated interface risk. Mitigation: thin adapter over a protocol-agnostic core.</w:t>
      </w:r>
    </w:p>
    <w:p>
      <w:pPr>
        <w:spacing w:after="40" w:before="240"/>
      </w:pPr>
      <w:r>
        <w:rPr>
          <w:b/>
          <w:bCs/>
          <w:color w:val="009A5C"/>
          <w:sz w:val="18"/>
          <w:szCs w:val="18"/>
        </w:rPr>
        <w:t xml:space="preserve">SECTION 13</w:t>
      </w:r>
    </w:p>
    <w:p>
      <w:pPr>
        <w:pStyle w:val="Heading1"/>
      </w:pPr>
      <w:r>
        <w:t xml:space="preserve">Success Metrics</w:t>
      </w:r>
    </w:p>
    <w:p>
      <w:pPr>
        <w:spacing w:after="150" w:before="60"/>
      </w:pPr>
      <w:r>
        <w:rPr>
          <w:color w:val="1F2937"/>
          <w:sz w:val="22"/>
          <w:szCs w:val="22"/>
        </w:rPr>
        <w:t xml:space="preserve">Each stage is measured against the thing it exists to prove.</w:t>
      </w:r>
    </w:p>
    <w:p>
      <w:pPr>
        <w:pStyle w:val="Heading2"/>
      </w:pPr>
      <w:r>
        <w:t xml:space="preserve">Stage 1 — validation</w:t>
      </w:r>
    </w:p>
    <w:p>
      <w:pPr>
        <w:spacing w:after="150" w:before="60"/>
      </w:pPr>
      <w:r>
        <w:rPr>
          <w:color w:val="1F2937"/>
          <w:sz w:val="22"/>
          <w:szCs w:val="22"/>
        </w:rPr>
        <w:t xml:space="preserve">Leading: design partners signed (target 2–3); POC-to-active-usage; risk/compliance buyers engaged; documented willingness to pay for governance. Lagging: design-partner intent-to-buy.</w:t>
      </w:r>
    </w:p>
    <w:p>
      <w:pPr>
        <w:pStyle w:val="Heading2"/>
      </w:pPr>
      <w:r>
        <w:t xml:space="preserve">Stage 2 — revenue</w:t>
      </w:r>
    </w:p>
    <w:p>
      <w:pPr>
        <w:spacing w:after="150" w:before="60"/>
      </w:pPr>
      <w:r>
        <w:rPr>
          <w:color w:val="1F2937"/>
          <w:sz w:val="22"/>
          <w:szCs w:val="22"/>
        </w:rPr>
        <w:t xml:space="preserve">Leading: paid conversions; governance-module attach rate; incremental ARR from governed AI; premium vs. base ACV. Lagging: retention and expansion; ISO 42001 readiness milestone reached.</w:t>
      </w:r>
    </w:p>
    <w:p>
      <w:pPr>
        <w:pStyle w:val="Heading2"/>
      </w:pPr>
      <w:r>
        <w:t xml:space="preserve">Stage 3 — scale</w:t>
      </w:r>
    </w:p>
    <w:p>
      <w:pPr>
        <w:spacing w:after="150" w:before="60"/>
      </w:pPr>
      <w:r>
        <w:rPr>
          <w:color w:val="1F2937"/>
          <w:sz w:val="22"/>
          <w:szCs w:val="22"/>
        </w:rPr>
        <w:t xml:space="preserve">Leading: AI-governance-plane bookings; attestation packs used in real audits; partner-sourced pipeline share; second-vertical logos. Lagging: second-revenue-stream contribution; win-rate versus point tools; gross retention.</w:t>
      </w:r>
    </w:p>
    <w:p>
      <w:pPr>
        <w:spacing w:after="40" w:before="240"/>
      </w:pPr>
      <w:r>
        <w:rPr>
          <w:b/>
          <w:bCs/>
          <w:color w:val="009A5C"/>
          <w:sz w:val="18"/>
          <w:szCs w:val="18"/>
        </w:rPr>
        <w:t xml:space="preserve">SECTION 14</w:t>
      </w:r>
    </w:p>
    <w:p>
      <w:pPr>
        <w:pStyle w:val="Heading1"/>
      </w:pPr>
      <w:r>
        <w:t xml:space="preserve">Open Questions &amp; Next Steps</w:t>
      </w:r>
    </w:p>
    <w:p>
      <w:pPr>
        <w:pStyle w:val="ListParagraph"/>
        <w:numPr>
          <w:ilvl w:val="0"/>
          <w:numId w:val="2"/>
        </w:numPr>
        <w:spacing w:after="30" w:before="30"/>
      </w:pPr>
      <w:r>
        <w:rPr>
          <w:color w:val="1F2937"/>
          <w:sz w:val="22"/>
          <w:szCs w:val="22"/>
        </w:rPr>
        <w:t xml:space="preserve">Confirm current regulatory timelines (EU AI Act phase-in, NAIC state adoption) before any external use of this plan.</w:t>
      </w:r>
    </w:p>
    <w:p>
      <w:pPr>
        <w:pStyle w:val="ListParagraph"/>
        <w:numPr>
          <w:ilvl w:val="0"/>
          <w:numId w:val="2"/>
        </w:numPr>
        <w:spacing w:after="30" w:before="30"/>
      </w:pPr>
      <w:r>
        <w:rPr>
          <w:color w:val="1F2937"/>
          <w:sz w:val="22"/>
          <w:szCs w:val="22"/>
        </w:rPr>
        <w:t xml:space="preserve">Agree the Stage 1 design-partner target list across financial services and healthcare.</w:t>
      </w:r>
    </w:p>
    <w:p>
      <w:pPr>
        <w:pStyle w:val="ListParagraph"/>
        <w:numPr>
          <w:ilvl w:val="0"/>
          <w:numId w:val="2"/>
        </w:numPr>
        <w:spacing w:after="30" w:before="30"/>
      </w:pPr>
      <w:r>
        <w:rPr>
          <w:color w:val="1F2937"/>
          <w:sz w:val="22"/>
          <w:szCs w:val="22"/>
        </w:rPr>
        <w:t xml:space="preserve">Validate the Gate 1 and Gate 2 thresholds (partner count, incremental-ARR figure) with the CEO and CFO.</w:t>
      </w:r>
    </w:p>
    <w:p>
      <w:pPr>
        <w:pStyle w:val="ListParagraph"/>
        <w:numPr>
          <w:ilvl w:val="0"/>
          <w:numId w:val="2"/>
        </w:numPr>
        <w:spacing w:after="30" w:before="30"/>
      </w:pPr>
      <w:r>
        <w:rPr>
          <w:color w:val="1F2937"/>
          <w:sz w:val="22"/>
          <w:szCs w:val="22"/>
        </w:rPr>
        <w:t xml:space="preserve">Confirm the partner-first semantic-layer choice (Cube vs. dbt) and secure telemetry rights in the agreement.</w:t>
      </w:r>
    </w:p>
    <w:p>
      <w:pPr>
        <w:pStyle w:val="ListParagraph"/>
        <w:numPr>
          <w:ilvl w:val="0"/>
          <w:numId w:val="2"/>
        </w:numPr>
        <w:spacing w:after="30" w:before="30"/>
      </w:pPr>
      <w:r>
        <w:rPr>
          <w:color w:val="1F2937"/>
          <w:sz w:val="22"/>
          <w:szCs w:val="22"/>
        </w:rPr>
        <w:t xml:space="preserve">Decide whether to fold the downstream market-expansion plan into this document or keep it as a separate layer built on Stage 2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9A5C" w:sz="18"/>
              <w:bottom w:val="single" w:color="D1D5DB" w:sz="1"/>
              <w:right w:val="single" w:color="D1D5DB" w:sz="1"/>
            </w:tcBorders>
            <w:shd w:fill="ECFDF5" w:val="clear"/>
            <w:tcMar>
              <w:top w:type="dxa" w:w="120"/>
              <w:left w:type="dxa" w:w="200"/>
              <w:bottom w:type="dxa" w:w="120"/>
              <w:right w:type="dxa" w:w="200"/>
            </w:tcMar>
          </w:tcPr>
          <w:p>
            <w:pPr>
              <w:spacing w:after="80" w:before="0"/>
            </w:pPr>
            <w:r>
              <w:rPr>
                <w:b/>
                <w:bCs/>
                <w:color w:val="009A5C"/>
                <w:sz w:val="22"/>
                <w:szCs w:val="22"/>
              </w:rPr>
              <w:t xml:space="preserve">A closing note</w:t>
            </w:r>
          </w:p>
          <w:p>
            <w:pPr>
              <w:spacing w:after="30" w:before="30"/>
            </w:pPr>
            <w:r>
              <w:rPr>
                <w:color w:val="1F2937"/>
                <w:sz w:val="20"/>
                <w:szCs w:val="20"/>
              </w:rPr>
              <w:t xml:space="preserve">This is a build-and-prove plan, not a promise of scale on a fixed date. The five-person team is enough to</w:t>
            </w:r>
          </w:p>
          <w:p>
            <w:pPr>
              <w:spacing w:after="30" w:before="30"/>
            </w:pPr>
            <w:r>
              <w:rPr>
                <w:color w:val="1F2937"/>
                <w:sz w:val="20"/>
                <w:szCs w:val="20"/>
              </w:rPr>
              <w:t xml:space="preserve">prove the wedge; validated revenue is what buys the pace of everything after. Confident in the sequence,</w:t>
            </w:r>
          </w:p>
          <w:p>
            <w:pPr>
              <w:spacing w:after="30" w:before="30"/>
            </w:pPr>
            <w:r>
              <w:rPr>
                <w:color w:val="1F2937"/>
                <w:sz w:val="20"/>
                <w:szCs w:val="20"/>
              </w:rPr>
              <w:t xml:space="preserve">appropriately disciplined about the resourcing.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A5C" w:sz="6" w:space="6"/>
      </w:pBdr>
      <w:jc w:val="center"/>
    </w:pPr>
    <w:r>
      <w:rPr>
        <w:color w:val="6B7280"/>
        <w:sz w:val="16"/>
        <w:szCs w:val="16"/>
      </w:rPr>
      <w:t xml:space="preserve">DRAFT — For Discussion Purposes Only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A5C" w:sz="6" w:space="6"/>
      </w:pBdr>
      <w:jc w:val="right"/>
    </w:pPr>
    <w:r>
      <w:rPr>
        <w:color w:val="6B7280"/>
        <w:sz w:val="16"/>
        <w:szCs w:val="16"/>
      </w:rPr>
      <w:t xml:space="preserve">AI Governance Overlay — Build &amp; GTM Roadmap   ·   Revelate.co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1F2937"/>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2026-07-06T13:20:07.487Z</dcterms:created>
  <dcterms:modified xsi:type="dcterms:W3CDTF">2026-07-06T13:20:07.488Z</dcterms:modified>
</cp:coreProperties>
</file>

<file path=docProps/custom.xml><?xml version="1.0" encoding="utf-8"?>
<Properties xmlns="http://schemas.openxmlformats.org/officeDocument/2006/custom-properties" xmlns:vt="http://schemas.openxmlformats.org/officeDocument/2006/docPropsVTypes"/>
</file>