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60" w:before="0"/>
        <w:jc w:val="center"/>
      </w:pPr>
      <w:r>
        <w:rPr>
          <w:rFonts w:ascii="Arial" w:cs="Arial" w:eastAsia="Arial" w:hAnsi="Arial"/>
          <w:b/>
          <w:bCs/>
          <w:color w:val="009A5C"/>
          <w:sz w:val="28"/>
          <w:szCs w:val="28"/>
        </w:rPr>
        <w:t xml:space="preserve">Revelate.co</w:t>
      </w:r>
    </w:p>
    <w:p>
      <w:pPr>
        <w:spacing w:after="200" w:before="0"/>
        <w:jc w:val="center"/>
      </w:pPr>
      <w:r>
        <w:rPr>
          <w:rFonts w:ascii="Arial" w:cs="Arial" w:eastAsia="Arial" w:hAnsi="Arial"/>
          <w:b/>
          <w:bCs/>
          <w:color w:val="1F2937"/>
          <w:sz w:val="56"/>
          <w:szCs w:val="56"/>
        </w:rPr>
        <w:t xml:space="preserve">Strategic Concept Proposal</w:t>
      </w:r>
    </w:p>
    <w:p>
      <w:pPr>
        <w:pBdr>
          <w:bottom w:val="single" w:color="009A5C" w:sz="10"/>
        </w:pBdr>
        <w:spacing w:after="0" w:before="0"/>
        <w:jc w:val="center"/>
      </w:pPr>
      <w:r>
        <w:rPr>
          <w:rFonts w:ascii="Arial" w:cs="Arial" w:eastAsia="Arial" w:hAnsi="Arial"/>
          <w:color w:val="6B7280"/>
          <w:sz w:val="30"/>
          <w:szCs w:val="30"/>
        </w:rPr>
        <w:t xml:space="preserve">Unlocking the Next Phase of Growth</w:t>
      </w:r>
    </w:p>
    <w:p>
      <w:pPr>
        <w:spacing w:after="0" w:before="400"/>
      </w:pPr>
      <w:r>
        <w:t xml:space="preserve"/>
      </w:r>
    </w:p>
    <w:p>
      <w:pPr>
        <w:spacing w:after="0" w:before="0"/>
        <w:jc w:val="center"/>
      </w:pPr>
      <w:r>
        <w:rPr>
          <w:rFonts w:ascii="Arial" w:cs="Arial" w:eastAsia="Arial" w:hAnsi="Arial"/>
          <w:i/>
          <w:iCs/>
          <w:color w:val="1F2937"/>
          <w:sz w:val="24"/>
          <w:szCs w:val="24"/>
        </w:rPr>
        <w:t xml:space="preserve">A Leadership Perspective on Product, AI, and Go-to-Market Strategy</w:t>
      </w:r>
    </w:p>
    <w:p>
      <w:pPr>
        <w:spacing w:after="0" w:before="2880"/>
      </w:pPr>
      <w:r>
        <w:t xml:space="preserve"/>
      </w:r>
    </w:p>
    <w:p>
      <w:pPr>
        <w:spacing w:after="120" w:before="0"/>
        <w:jc w:val="center"/>
      </w:pPr>
      <w:r>
        <w:rPr>
          <w:rFonts w:ascii="Arial" w:cs="Arial" w:eastAsia="Arial" w:hAnsi="Arial"/>
          <w:color w:val="6B7280"/>
          <w:sz w:val="24"/>
          <w:szCs w:val="24"/>
        </w:rPr>
        <w:t xml:space="preserve">June 2026</w:t>
      </w:r>
    </w:p>
    <w:p>
      <w:pPr>
        <w:spacing w:after="0" w:before="0"/>
        <w:jc w:val="center"/>
      </w:pPr>
      <w:r>
        <w:rPr>
          <w:rFonts w:ascii="Arial" w:cs="Arial" w:eastAsia="Arial" w:hAnsi="Arial"/>
          <w:b/>
          <w:bCs/>
          <w:color w:val="009A5C"/>
          <w:sz w:val="22"/>
          <w:szCs w:val="22"/>
        </w:rPr>
        <w:t xml:space="preserve">DRAFT — For Discussion Purposes Only</w:t>
      </w:r>
    </w:p>
    <w:p>
      <w:r>
        <w:br w:type="page"/>
      </w:r>
    </w:p>
    <w:p>
      <w:pPr>
        <w:pStyle w:val="Heading1"/>
      </w:pPr>
      <w:r>
        <w:rPr>
          <w:rFonts w:ascii="Arial" w:cs="Arial" w:eastAsia="Arial" w:hAnsi="Arial"/>
        </w:rPr>
        <w:t xml:space="preserve">Preface: A Concept Proposal</w:t>
      </w:r>
    </w:p>
    <w:p>
      <w:pPr>
        <w:spacing w:after="180" w:before="80"/>
      </w:pPr>
      <w:r>
        <w:rPr>
          <w:rFonts w:ascii="Arial" w:cs="Arial" w:eastAsia="Arial" w:hAnsi="Arial"/>
          <w:color w:val="1F2937"/>
          <w:sz w:val="22"/>
          <w:szCs w:val="22"/>
        </w:rPr>
        <w:t xml:space="preserve">This document is a starting point, not a finished strategy. It has been developed without the benefit of a deep technical audit of Revelate’s existing stack, a detailed review of current commercial performance and pipeline, or substantive conversations with the leadership team, customers, or employees. Every conclusion and recommendation presented here is therefore a hypothesis — informed by what is publicly known about Revelate, combined with patterns from analogous businesses at similar stages.</w:t>
      </w:r>
    </w:p>
    <w:p>
      <w:pPr>
        <w:spacing w:after="180" w:before="80"/>
      </w:pPr>
      <w:r>
        <w:rPr>
          <w:rFonts w:ascii="Arial" w:cs="Arial" w:eastAsia="Arial" w:hAnsi="Arial"/>
          <w:color w:val="1F2937"/>
          <w:sz w:val="22"/>
          <w:szCs w:val="22"/>
        </w:rPr>
        <w:t xml:space="preserve">The purpose of this document is twofold: to demonstrate how I approach strategic thinking for a business like Revelate, and to provide a concrete foundation for meaningful leadership dialogue. I have chosen to be specific and opinionated, because a vague strategy is no strategy at all. But I hold every assumption lightly, and I expect many of them to be revised — or abandoned — once the discovery work described in Section 1 is complete.</w:t>
      </w:r>
    </w:p>
    <w:p>
      <w:pPr>
        <w:spacing w:after="180" w:before="80"/>
      </w:pPr>
      <w:r>
        <w:rPr>
          <w:rFonts w:ascii="Arial" w:cs="Arial" w:eastAsia="Arial" w:hAnsi="Arial"/>
          <w:color w:val="1F2937"/>
          <w:sz w:val="22"/>
          <w:szCs w:val="22"/>
        </w:rPr>
        <w:t xml:space="preserve">Nothing in this document should be read as a commitment to a specific course of action. It is an invitation to a conversation.</w:t>
      </w:r>
    </w:p>
    <w:p>
      <w:pPr>
        <w:spacing w:after="180" w:before="80"/>
      </w:pPr>
      <w:r>
        <w:rPr>
          <w:rFonts w:ascii="Arial" w:cs="Arial" w:eastAsia="Arial" w:hAnsi="Arial"/>
          <w:color w:val="1F2937"/>
          <w:sz w:val="22"/>
          <w:szCs w:val="22"/>
        </w:rPr>
        <w:t xml:space="preserve">A note on scope and intent: I have written this as a candidate for a senior product and strategy leadership role at Revelate, and the engagement I have in mind is a full-time operating one that begins with the discovery phase described in Section 1. Where I cite specific figures — ARR, headcount, investors — they are drawn from public sources and my own inference. I flag them throughout as estimates to be confirmed in discovery, not as facts I have verified from inside the business.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9A5C" w:sz="18"/>
              <w:bottom w:val="single" w:color="D1D5DB" w:sz="1"/>
              <w:right w:val="single" w:color="D1D5DB" w:sz="1"/>
            </w:tcBorders>
            <w:shd w:fill="ECFDF5" w:val="clear"/>
            <w:tcMar>
              <w:top w:type="dxa" w:w="120"/>
              <w:left w:type="dxa" w:w="200"/>
              <w:bottom w:type="dxa" w:w="120"/>
              <w:right w:type="dxa" w:w="200"/>
            </w:tcMar>
          </w:tcPr>
          <w:p>
            <w:pPr>
              <w:spacing w:after="80" w:before="0"/>
            </w:pPr>
            <w:r>
              <w:rPr>
                <w:rFonts w:ascii="Arial" w:cs="Arial" w:eastAsia="Arial" w:hAnsi="Arial"/>
                <w:b/>
                <w:bCs/>
                <w:color w:val="009A5C"/>
                <w:sz w:val="22"/>
                <w:szCs w:val="22"/>
              </w:rPr>
              <w:t xml:space="preserve">What This Document Is Not</w:t>
            </w:r>
          </w:p>
          <w:p>
            <w:pPr>
              <w:spacing w:after="40" w:before="40"/>
            </w:pPr>
            <w:r>
              <w:rPr>
                <w:rFonts w:ascii="Arial" w:cs="Arial" w:eastAsia="Arial" w:hAnsi="Arial"/>
                <w:color w:val="1F2937"/>
                <w:sz w:val="20"/>
                <w:szCs w:val="20"/>
              </w:rPr>
              <w:t xml:space="preserve">A final strategic plan or execution roadmap</w:t>
            </w:r>
          </w:p>
          <w:p>
            <w:pPr>
              <w:spacing w:after="40" w:before="40"/>
            </w:pPr>
            <w:r>
              <w:rPr>
                <w:rFonts w:ascii="Arial" w:cs="Arial" w:eastAsia="Arial" w:hAnsi="Arial"/>
                <w:color w:val="1F2937"/>
                <w:sz w:val="20"/>
                <w:szCs w:val="20"/>
              </w:rPr>
              <w:t xml:space="preserve">A commitment to specific timelines, budgets, or resource allocations</w:t>
            </w:r>
          </w:p>
          <w:p>
            <w:pPr>
              <w:spacing w:after="40" w:before="40"/>
            </w:pPr>
            <w:r>
              <w:rPr>
                <w:rFonts w:ascii="Arial" w:cs="Arial" w:eastAsia="Arial" w:hAnsi="Arial"/>
                <w:color w:val="1F2937"/>
                <w:sz w:val="20"/>
                <w:szCs w:val="20"/>
              </w:rPr>
              <w:t xml:space="preserve">A reflection of Revelate’s internal priorities, technical constraints, or commercial reality</w:t>
            </w:r>
          </w:p>
          <w:p>
            <w:pPr>
              <w:spacing w:after="40" w:before="40"/>
            </w:pPr>
            <w:r>
              <w:rPr>
                <w:rFonts w:ascii="Arial" w:cs="Arial" w:eastAsia="Arial" w:hAnsi="Arial"/>
                <w:color w:val="1F2937"/>
                <w:sz w:val="20"/>
                <w:szCs w:val="20"/>
              </w:rPr>
              <w:t xml:space="preserve">A substitute for the discovery work that must precede any meaningful strategy</w:t>
            </w:r>
          </w:p>
        </w:tc>
      </w:tr>
    </w:tbl>
    <w:p>
      <w:r>
        <w:br w:type="page"/>
      </w:r>
    </w:p>
    <w:p>
      <w:pPr>
        <w:pStyle w:val="Heading1"/>
      </w:pPr>
      <w:r>
        <w:rPr>
          <w:rFonts w:ascii="Arial" w:cs="Arial" w:eastAsia="Arial" w:hAnsi="Arial"/>
        </w:rPr>
        <w:t xml:space="preserve">Section 1: Discovery First — The First 30–60 Days</w:t>
      </w:r>
    </w:p>
    <w:p>
      <w:pPr>
        <w:spacing w:after="180" w:before="80"/>
      </w:pPr>
      <w:r>
        <w:rPr>
          <w:rFonts w:ascii="Arial" w:cs="Arial" w:eastAsia="Arial" w:hAnsi="Arial"/>
          <w:color w:val="1F2937"/>
          <w:sz w:val="22"/>
          <w:szCs w:val="22"/>
        </w:rPr>
        <w:t xml:space="preserve">Before any strategy is meaningfully executed, I need to understand Revelate from the inside. My first commitment to the leadership team would be a structured discovery phase — a deliberate effort to replace assumption with evidence across five critical dimensions. Everything in the sections that follow this one would be revisited, stress-tested, and revised based on what I learn.</w:t>
      </w:r>
    </w:p>
    <w:p>
      <w:pPr>
        <w:pStyle w:val="Heading2"/>
      </w:pPr>
      <w:r>
        <w:rPr>
          <w:rFonts w:ascii="Arial" w:cs="Arial" w:eastAsia="Arial" w:hAnsi="Arial"/>
        </w:rPr>
        <w:t xml:space="preserve">1.1  Technology Stack and Architecture</w:t>
      </w:r>
    </w:p>
    <w:p>
      <w:pPr>
        <w:spacing w:after="180" w:before="80"/>
      </w:pPr>
      <w:r>
        <w:rPr>
          <w:rFonts w:ascii="Arial" w:cs="Arial" w:eastAsia="Arial" w:hAnsi="Arial"/>
          <w:color w:val="1F2937"/>
          <w:sz w:val="22"/>
          <w:szCs w:val="22"/>
        </w:rPr>
        <w:t xml:space="preserve">Understanding what has been built, how it is built, and where the technical debt sits is the foundation of any credible product and engineering strategy. I would examine:</w:t>
      </w:r>
    </w:p>
    <w:p>
      <w:pPr>
        <w:pStyle w:val="ListParagraph"/>
        <w:numPr>
          <w:ilvl w:val="0"/>
          <w:numId w:val="2"/>
        </w:numPr>
        <w:spacing w:after="60" w:before="60"/>
      </w:pPr>
      <w:r>
        <w:rPr>
          <w:rFonts w:ascii="Arial" w:cs="Arial" w:eastAsia="Arial" w:hAnsi="Arial"/>
          <w:color w:val="1F2937"/>
          <w:sz w:val="22"/>
          <w:szCs w:val="22"/>
        </w:rPr>
        <w:t xml:space="preserve">Current platform architecture: how data packaging, entitlement management, and delivery are implemented across cloud environments</w:t>
      </w:r>
    </w:p>
    <w:p>
      <w:pPr>
        <w:pStyle w:val="ListParagraph"/>
        <w:numPr>
          <w:ilvl w:val="0"/>
          <w:numId w:val="2"/>
        </w:numPr>
        <w:spacing w:after="60" w:before="60"/>
      </w:pPr>
      <w:r>
        <w:rPr>
          <w:rFonts w:ascii="Arial" w:cs="Arial" w:eastAsia="Arial" w:hAnsi="Arial"/>
          <w:color w:val="1F2937"/>
          <w:sz w:val="22"/>
          <w:szCs w:val="22"/>
        </w:rPr>
        <w:t xml:space="preserve">Integration depth with cloud partners — Snowflake, Databricks, AWS, GCP, Azure: what is native, what is bolted on, and what the real constraints are</w:t>
      </w:r>
    </w:p>
    <w:p>
      <w:pPr>
        <w:pStyle w:val="ListParagraph"/>
        <w:numPr>
          <w:ilvl w:val="0"/>
          <w:numId w:val="2"/>
        </w:numPr>
        <w:spacing w:after="60" w:before="60"/>
      </w:pPr>
      <w:r>
        <w:rPr>
          <w:rFonts w:ascii="Arial" w:cs="Arial" w:eastAsia="Arial" w:hAnsi="Arial"/>
          <w:color w:val="1F2937"/>
          <w:sz w:val="22"/>
          <w:szCs w:val="22"/>
        </w:rPr>
        <w:t xml:space="preserve">Existing data model and catalogue structure: how data products are defined, stored, and surfaced</w:t>
      </w:r>
    </w:p>
    <w:p>
      <w:pPr>
        <w:pStyle w:val="ListParagraph"/>
        <w:numPr>
          <w:ilvl w:val="0"/>
          <w:numId w:val="2"/>
        </w:numPr>
        <w:spacing w:after="60" w:before="60"/>
      </w:pPr>
      <w:r>
        <w:rPr>
          <w:rFonts w:ascii="Arial" w:cs="Arial" w:eastAsia="Arial" w:hAnsi="Arial"/>
          <w:color w:val="1F2937"/>
          <w:sz w:val="22"/>
          <w:szCs w:val="22"/>
        </w:rPr>
        <w:t xml:space="preserve">Engineering velocity and delivery process: sprint cadence, deployment frequency, test coverage, CI/CD maturity</w:t>
      </w:r>
    </w:p>
    <w:p>
      <w:pPr>
        <w:pStyle w:val="ListParagraph"/>
        <w:numPr>
          <w:ilvl w:val="0"/>
          <w:numId w:val="2"/>
        </w:numPr>
        <w:spacing w:after="60" w:before="60"/>
      </w:pPr>
      <w:r>
        <w:rPr>
          <w:rFonts w:ascii="Arial" w:cs="Arial" w:eastAsia="Arial" w:hAnsi="Arial"/>
          <w:color w:val="1F2937"/>
          <w:sz w:val="22"/>
          <w:szCs w:val="22"/>
        </w:rPr>
        <w:t xml:space="preserve">Technical debt inventory: where the architecture creates friction today and will limit growth tomorrow</w:t>
      </w:r>
    </w:p>
    <w:p>
      <w:pPr>
        <w:pStyle w:val="ListParagraph"/>
        <w:numPr>
          <w:ilvl w:val="0"/>
          <w:numId w:val="2"/>
        </w:numPr>
        <w:spacing w:after="60" w:before="60"/>
      </w:pPr>
      <w:r>
        <w:rPr>
          <w:rFonts w:ascii="Arial" w:cs="Arial" w:eastAsia="Arial" w:hAnsi="Arial"/>
          <w:color w:val="1F2937"/>
          <w:sz w:val="22"/>
          <w:szCs w:val="22"/>
        </w:rPr>
        <w:t xml:space="preserve">Security and compliance posture: current certifications, gaps, and roadmap</w:t>
      </w:r>
    </w:p>
    <w:p>
      <w:pPr>
        <w:pStyle w:val="Heading2"/>
      </w:pPr>
      <w:r>
        <w:rPr>
          <w:rFonts w:ascii="Arial" w:cs="Arial" w:eastAsia="Arial" w:hAnsi="Arial"/>
        </w:rPr>
        <w:t xml:space="preserve">1.2  Market and Competitive Landscape</w:t>
      </w:r>
    </w:p>
    <w:p>
      <w:pPr>
        <w:spacing w:after="180" w:before="80"/>
      </w:pPr>
      <w:r>
        <w:rPr>
          <w:rFonts w:ascii="Arial" w:cs="Arial" w:eastAsia="Arial" w:hAnsi="Arial"/>
          <w:color w:val="1F2937"/>
          <w:sz w:val="22"/>
          <w:szCs w:val="22"/>
        </w:rPr>
        <w:t xml:space="preserve">I would conduct structured research into the competitive environment, including direct competitors, adjacent platforms, and emerging AI-native entrants. The goal is to understand where Revelate’s positioning is strong, where it is vulnerable, and where the AI inflection point creates new competitive dynamics that did not exist twelve months ago.</w:t>
      </w:r>
    </w:p>
    <w:p>
      <w:pPr>
        <w:pStyle w:val="Heading2"/>
      </w:pPr>
      <w:r>
        <w:rPr>
          <w:rFonts w:ascii="Arial" w:cs="Arial" w:eastAsia="Arial" w:hAnsi="Arial"/>
        </w:rPr>
        <w:t xml:space="preserve">1.3  Commercial and Financial Reality</w:t>
      </w:r>
    </w:p>
    <w:p>
      <w:pPr>
        <w:spacing w:after="180" w:before="80"/>
      </w:pPr>
      <w:r>
        <w:rPr>
          <w:rFonts w:ascii="Arial" w:cs="Arial" w:eastAsia="Arial" w:hAnsi="Arial"/>
          <w:color w:val="1F2937"/>
          <w:sz w:val="22"/>
          <w:szCs w:val="22"/>
        </w:rPr>
        <w:t xml:space="preserve">Revenue composition, customer concentration, churn rates, ACV distribution, and unit economics all tell a story that shapes what strategies are actually viable versus aspirational. I would work closely with the CEO and CFO to understand the current financial position, burn rate, and runway — and to calibrate growth targets against what the business can genuinely sustain.</w:t>
      </w:r>
    </w:p>
    <w:p>
      <w:pPr>
        <w:pStyle w:val="Heading2"/>
      </w:pPr>
      <w:r>
        <w:rPr>
          <w:rFonts w:ascii="Arial" w:cs="Arial" w:eastAsia="Arial" w:hAnsi="Arial"/>
        </w:rPr>
        <w:t xml:space="preserve">1.4  Sales Pipeline and GTM Current State</w:t>
      </w:r>
    </w:p>
    <w:p>
      <w:pPr>
        <w:spacing w:after="180" w:before="80"/>
      </w:pPr>
      <w:r>
        <w:rPr>
          <w:rFonts w:ascii="Arial" w:cs="Arial" w:eastAsia="Arial" w:hAnsi="Arial"/>
          <w:color w:val="1F2937"/>
          <w:sz w:val="22"/>
          <w:szCs w:val="22"/>
        </w:rPr>
        <w:t xml:space="preserve">I would spend meaningful time with the sales and customer success teams to understand who we are actually selling to, what objections arise most frequently, where deals stall, and which customers are generating expansion revenue versus churning. The pipeline tells a more honest story than any document.</w:t>
      </w:r>
    </w:p>
    <w:p>
      <w:pPr>
        <w:pStyle w:val="Heading2"/>
      </w:pPr>
      <w:r>
        <w:rPr>
          <w:rFonts w:ascii="Arial" w:cs="Arial" w:eastAsia="Arial" w:hAnsi="Arial"/>
        </w:rPr>
        <w:t xml:space="preserve">1.5  Culture, People, and Leadership Goals</w:t>
      </w:r>
    </w:p>
    <w:p>
      <w:pPr>
        <w:spacing w:after="180" w:before="80"/>
      </w:pPr>
      <w:r>
        <w:rPr>
          <w:rFonts w:ascii="Arial" w:cs="Arial" w:eastAsia="Arial" w:hAnsi="Arial"/>
          <w:color w:val="1F2937"/>
          <w:sz w:val="22"/>
          <w:szCs w:val="22"/>
        </w:rPr>
        <w:t xml:space="preserve">No strategy is more ambitious than the team capable of executing it. I would invest meaningful time with the engineering team, product team, and broader organisation to understand current culture, team strengths and gaps, and individual motivations. Equally important: I would align deeply with the CEO and leadership on what success looks like — not just financially, but in terms of the kind of company Revelate wants to become.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9A5C" w:sz="18"/>
              <w:bottom w:val="single" w:color="D1D5DB" w:sz="1"/>
              <w:right w:val="single" w:color="D1D5DB" w:sz="1"/>
            </w:tcBorders>
            <w:shd w:fill="ECFDF5" w:val="clear"/>
            <w:tcMar>
              <w:top w:type="dxa" w:w="120"/>
              <w:left w:type="dxa" w:w="200"/>
              <w:bottom w:type="dxa" w:w="120"/>
              <w:right w:type="dxa" w:w="200"/>
            </w:tcMar>
          </w:tcPr>
          <w:p>
            <w:pPr>
              <w:spacing w:after="80" w:before="0"/>
            </w:pPr>
            <w:r>
              <w:rPr>
                <w:rFonts w:ascii="Arial" w:cs="Arial" w:eastAsia="Arial" w:hAnsi="Arial"/>
                <w:b/>
                <w:bCs/>
                <w:color w:val="009A5C"/>
                <w:sz w:val="22"/>
                <w:szCs w:val="22"/>
              </w:rPr>
              <w:t xml:space="preserve">Discovery Informs Everything That Follows</w:t>
            </w:r>
          </w:p>
          <w:p>
            <w:pPr>
              <w:spacing w:after="40" w:before="40"/>
            </w:pPr>
            <w:r>
              <w:rPr>
                <w:rFonts w:ascii="Arial" w:cs="Arial" w:eastAsia="Arial" w:hAnsi="Arial"/>
                <w:color w:val="1F2937"/>
                <w:sz w:val="20"/>
                <w:szCs w:val="20"/>
              </w:rPr>
              <w:t xml:space="preserve">All strategic direction, technical architecture, GTM recommendations, roadmap sequencing,</w:t>
            </w:r>
          </w:p>
          <w:p>
            <w:pPr>
              <w:spacing w:after="40" w:before="40"/>
            </w:pPr>
            <w:r>
              <w:rPr>
                <w:rFonts w:ascii="Arial" w:cs="Arial" w:eastAsia="Arial" w:hAnsi="Arial"/>
                <w:color w:val="1F2937"/>
                <w:sz w:val="20"/>
                <w:szCs w:val="20"/>
              </w:rPr>
              <w:t xml:space="preserve">and financial projections in this document are subject to material revision following</w:t>
            </w:r>
          </w:p>
          <w:p>
            <w:pPr>
              <w:spacing w:after="40" w:before="40"/>
            </w:pPr>
            <w:r>
              <w:rPr>
                <w:rFonts w:ascii="Arial" w:cs="Arial" w:eastAsia="Arial" w:hAnsi="Arial"/>
                <w:color w:val="1F2937"/>
                <w:sz w:val="20"/>
                <w:szCs w:val="20"/>
              </w:rPr>
              <w:t xml:space="preserve">the completion of the discovery process described above. The sections that follow</w:t>
            </w:r>
          </w:p>
          <w:p>
            <w:pPr>
              <w:spacing w:after="40" w:before="40"/>
            </w:pPr>
            <w:r>
              <w:rPr>
                <w:rFonts w:ascii="Arial" w:cs="Arial" w:eastAsia="Arial" w:hAnsi="Arial"/>
                <w:color w:val="1F2937"/>
                <w:sz w:val="20"/>
                <w:szCs w:val="20"/>
              </w:rPr>
              <w:t xml:space="preserve">represent a directional hypothesis — not a plan ready for execution.</w:t>
            </w:r>
          </w:p>
        </w:tc>
      </w:tr>
    </w:tbl>
    <w:p>
      <w:r>
        <w:br w:type="page"/>
      </w:r>
    </w:p>
    <w:p>
      <w:pPr>
        <w:pStyle w:val="Heading1"/>
      </w:pPr>
      <w:r>
        <w:rPr>
          <w:rFonts w:ascii="Arial" w:cs="Arial" w:eastAsia="Arial" w:hAnsi="Arial"/>
        </w:rPr>
        <w:t xml:space="preserve">Section 2: The Market Opportunity</w:t>
      </w:r>
    </w:p>
    <w:p>
      <w:pPr>
        <w:spacing w:after="180" w:before="80"/>
      </w:pPr>
      <w:r>
        <w:rPr>
          <w:rFonts w:ascii="Arial" w:cs="Arial" w:eastAsia="Arial" w:hAnsi="Arial"/>
          <w:color w:val="1F2937"/>
          <w:sz w:val="22"/>
          <w:szCs w:val="22"/>
        </w:rPr>
        <w:t xml:space="preserve">Revelate has built something real: a governed, self-serve data marketplace platform that sits alongside the cloud environments enterprises already operate in. With an estimated ~$3M ARR and publicly evident relationships with Snowflake, Databricks, AWS, GCP, and Azure, the technical and commercial foundation looks solid. But the current product and market positioning address only a fraction of the available opportunity.</w:t>
      </w:r>
    </w:p>
    <w:p>
      <w:pPr>
        <w:pStyle w:val="Heading2"/>
      </w:pPr>
      <w:r>
        <w:rPr>
          <w:rFonts w:ascii="Arial" w:cs="Arial" w:eastAsia="Arial" w:hAnsi="Arial"/>
        </w:rPr>
        <w:t xml:space="preserve">2.1  The AI Inflection Point</w:t>
      </w:r>
    </w:p>
    <w:p>
      <w:pPr>
        <w:spacing w:after="180" w:before="80"/>
      </w:pPr>
      <w:r>
        <w:rPr>
          <w:rFonts w:ascii="Arial" w:cs="Arial" w:eastAsia="Arial" w:hAnsi="Arial"/>
          <w:color w:val="1F2937"/>
          <w:sz w:val="22"/>
          <w:szCs w:val="22"/>
        </w:rPr>
        <w:t xml:space="preserve">Artificial intelligence is fundamentally changing who can work with data and how. Historically, extracting value from data required specialised expertise — data scientists, engineers, economists, and analysts who could write queries, build pipelines, and interpret outputs. That constraint has defined both the TAM and the buyer persona for data platforms, including Revelate.</w:t>
      </w:r>
    </w:p>
    <w:p>
      <w:pPr>
        <w:spacing w:after="180" w:before="80"/>
      </w:pPr>
      <w:r>
        <w:rPr>
          <w:rFonts w:ascii="Arial" w:cs="Arial" w:eastAsia="Arial" w:hAnsi="Arial"/>
          <w:color w:val="1F2937"/>
          <w:sz w:val="22"/>
          <w:szCs w:val="22"/>
        </w:rPr>
        <w:t xml:space="preserve">That constraint is collapsing. Large language models, agentic AI frameworks, and semantic reasoning capabilities mean that a VP of Sales, a Chief Revenue Officer, or a Regional General Manager can now interrogate complex data products in natural language and receive actionable, auditable answers. The democratisation of data access is no longer theoretical — the technology to make it real exists today.</w:t>
      </w:r>
    </w:p>
    <w:p>
      <w:pPr>
        <w:spacing w:after="180" w:before="80"/>
      </w:pPr>
      <w:r>
        <w:rPr>
          <w:rFonts w:ascii="Arial" w:cs="Arial" w:eastAsia="Arial" w:hAnsi="Arial"/>
          <w:color w:val="1F2937"/>
          <w:sz w:val="22"/>
          <w:szCs w:val="22"/>
        </w:rPr>
        <w:t xml:space="preserve">For Revelate, this is not a threat. It is the most significant expansion opportunity in the company’s history. A platform that already handles governed access, entitlement management, and multi-cloud data delivery is uniquely positioned to become the AI-native intelligence layer sitting between data assets and business users — at scale, with trust, and with auditability built in.</w:t>
      </w:r>
    </w:p>
    <w:p>
      <w:pPr>
        <w:pStyle w:val="Heading2"/>
      </w:pPr>
      <w:r>
        <w:rPr>
          <w:rFonts w:ascii="Arial" w:cs="Arial" w:eastAsia="Arial" w:hAnsi="Arial"/>
        </w:rPr>
        <w:t xml:space="preserve">2.2  TAM Expansion</w:t>
      </w:r>
    </w:p>
    <w:p>
      <w:pPr>
        <w:spacing w:after="180" w:before="80"/>
      </w:pPr>
      <w:r>
        <w:rPr>
          <w:rFonts w:ascii="Arial" w:cs="Arial" w:eastAsia="Arial" w:hAnsi="Arial"/>
          <w:color w:val="1F2937"/>
          <w:sz w:val="22"/>
          <w:szCs w:val="22"/>
        </w:rPr>
        <w:t xml:space="preserve">The AI layer dramatically expands Revelate’s addressable market across three dimensions: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F2937"/>
                <w:sz w:val="21"/>
                <w:szCs w:val="21"/>
              </w:rPr>
              <w:t xml:space="preserve">Current TAM</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F2937"/>
                <w:sz w:val="21"/>
                <w:szCs w:val="21"/>
              </w:rPr>
              <w:t xml:space="preserve">Organisations that sell, share, or distribute data products externally or internally. Estimated at $3–5B globally. Revelate’s current positioning addresses this market.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F2937"/>
                <w:sz w:val="21"/>
                <w:szCs w:val="21"/>
              </w:rPr>
              <w:t xml:space="preserve">Expanded TAM (AI layer)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Any enterprise that consumes, queries, or derives decisions from data — the enterprise analytics, BI, and data intelligence market. $25–50B+ globally.</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F2937"/>
                <w:sz w:val="21"/>
                <w:szCs w:val="21"/>
              </w:rPr>
              <w:t xml:space="preserve">Adjacent TAM (reliability layer)</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F2937"/>
                <w:sz w:val="21"/>
                <w:szCs w:val="21"/>
              </w:rPr>
              <w:t xml:space="preserve">The data observability and reliability market, currently served by Monte Carlo, Acceldata, and others. $1–2B and growing rapidly.</w:t>
            </w:r>
          </w:p>
        </w:tc>
      </w:tr>
    </w:tbl>
    <w:p>
      <w:pPr>
        <w:spacing w:after="0" w:before="200"/>
      </w:pPr>
      <w:r>
        <w:t xml:space="preserve"/>
      </w:r>
    </w:p>
    <w:p>
      <w:pPr>
        <w:spacing w:after="180" w:before="80"/>
      </w:pPr>
      <w:r>
        <w:rPr>
          <w:rFonts w:ascii="Arial" w:cs="Arial" w:eastAsia="Arial" w:hAnsi="Arial"/>
          <w:color w:val="1F2937"/>
          <w:sz w:val="22"/>
          <w:szCs w:val="22"/>
        </w:rPr>
        <w:t xml:space="preserve">A word of caution on these numbers: the expanded and adjacent figures are top-down market reframes, not a bottom-up addressable forecast. The near-term serviceable market is far smaller — a function of target accounts in the wedge vertical multiplied by realistic ACV. The point of the larger figures is directional: they show where the ceiling moves once the buyer universe expands, not what Revelate can address in the next twenty-four months.</w:t>
      </w:r>
    </w:p>
    <w:p>
      <w:pPr>
        <w:pStyle w:val="Heading2"/>
      </w:pPr>
      <w:r>
        <w:rPr>
          <w:rFonts w:ascii="Arial" w:cs="Arial" w:eastAsia="Arial" w:hAnsi="Arial"/>
        </w:rPr>
        <w:t xml:space="preserve">2.3  The Four-Buyer Model</w:t>
      </w:r>
    </w:p>
    <w:p>
      <w:pPr>
        <w:spacing w:after="180" w:before="80"/>
      </w:pPr>
      <w:r>
        <w:rPr>
          <w:rFonts w:ascii="Arial" w:cs="Arial" w:eastAsia="Arial" w:hAnsi="Arial"/>
          <w:color w:val="1F2937"/>
          <w:sz w:val="22"/>
          <w:szCs w:val="22"/>
        </w:rPr>
        <w:t xml:space="preserve">The AI expansion does not replace Revelate’s existing buyer — it adds new ones. Rather than a single sales motion targeting Chief Data Officers, the evolved platform creates four distinct but complementary buyer personas, each with a different job to be done and a separate budget pool: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F2937"/>
                <w:sz w:val="21"/>
                <w:szCs w:val="21"/>
              </w:rPr>
              <w:t xml:space="preserve">Chief Information Officer</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F2937"/>
                <w:sz w:val="21"/>
                <w:szCs w:val="21"/>
              </w:rPr>
              <w:t xml:space="preserve">Buying for enterprise risk reduction, cost efficiency, and infrastructure standardisation. Cares about compliance, vendor stability, and integration with the existing stack. Long sales cycle, highest ACV. Enters as a governance validator, not an initiator.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F2937"/>
                <w:sz w:val="21"/>
                <w:szCs w:val="21"/>
              </w:rPr>
              <w:t xml:space="preserve">Chief Data Officer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Buying to execute data strategy: productise assets, govern access, demonstrate business value. Revelate’s current primary buyer. Natural first champion. Opens the door.</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F2937"/>
                <w:sz w:val="21"/>
                <w:szCs w:val="21"/>
              </w:rPr>
              <w:t xml:space="preserve">Digital Transformation Leader</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F2937"/>
                <w:sz w:val="21"/>
                <w:szCs w:val="21"/>
              </w:rPr>
              <w:t xml:space="preserve">Buying for demonstrable ROI tied to a transformation programme. Motivated and fast-moving, but time-limited as a buyer persona. Best used as an opportunistic entry point rather than a core GTM motion.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F2937"/>
                <w:sz w:val="21"/>
                <w:szCs w:val="21"/>
              </w:rPr>
              <w:t xml:space="preserve">VP AI / Analytics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Buying for team capability: AI-native access to governed data at scale. Becomes the most powerful internal advocate and expansion driver once the AI product is live. The engine of land-and-expand growth.</w:t>
            </w:r>
          </w:p>
        </w:tc>
      </w:tr>
    </w:tbl>
    <w:p>
      <w:pPr>
        <w:spacing w:after="0" w:before="200"/>
      </w:pPr>
      <w:r>
        <w:t xml:space="preserve"/>
      </w:r>
    </w:p>
    <w:p>
      <w:pPr>
        <w:spacing w:after="180" w:before="80"/>
      </w:pPr>
      <w:r>
        <w:rPr>
          <w:rFonts w:ascii="Arial" w:cs="Arial" w:eastAsia="Arial" w:hAnsi="Arial"/>
          <w:color w:val="1F2937"/>
          <w:sz w:val="22"/>
          <w:szCs w:val="22"/>
        </w:rPr>
        <w:t xml:space="preserve">In a large enterprise, these buyers operate from separate budgets. A single Revelate engagement could ultimately draw from IT infrastructure, data platform, transformation programme, and analytics/AI budgets simultaneously — meaningfully increasing deal value per customer without requiring proportional additional sales effort. In practice, enterprise procurement often consolidates these budgets, so drawing from all four simultaneously is the multi-year prize rather than a day-one motion; the near-term point is the breadth of business justification a single deployment can credibly support.</w:t>
      </w:r>
    </w:p>
    <w:p>
      <w:pPr>
        <w:pStyle w:val="Heading2"/>
      </w:pPr>
      <w:r>
        <w:rPr>
          <w:rFonts w:ascii="Arial" w:cs="Arial" w:eastAsia="Arial" w:hAnsi="Arial"/>
        </w:rPr>
        <w:t xml:space="preserve">2.4  The Competitive Reality — When the Cloud Platforms Ship This</w:t>
      </w:r>
    </w:p>
    <w:p>
      <w:pPr>
        <w:spacing w:after="180" w:before="80"/>
      </w:pPr>
      <w:r>
        <w:rPr>
          <w:rFonts w:ascii="Arial" w:cs="Arial" w:eastAsia="Arial" w:hAnsi="Arial"/>
          <w:color w:val="1F2937"/>
          <w:sz w:val="22"/>
          <w:szCs w:val="22"/>
        </w:rPr>
        <w:t xml:space="preserve">The most important question a leadership reader will ask is not about TAM — it is about the cloud platforms. Snowflake (Cortex, with its semantic model, Cortex Analyst, and agent capabilities) and Databricks (Genie and Unity Catalog semantics) are moving aggressively toward the same natural-language-over-governed-data layer described in Section 3. Any honest version of this strategy has to answer one question directly: why does Revelate win when the platforms ship this natively?</w:t>
      </w:r>
    </w:p>
    <w:p>
      <w:pPr>
        <w:spacing w:after="180" w:before="80"/>
      </w:pPr>
      <w:r>
        <w:rPr>
          <w:rFonts w:ascii="Arial" w:cs="Arial" w:eastAsia="Arial" w:hAnsi="Arial"/>
          <w:color w:val="1F2937"/>
          <w:sz w:val="22"/>
          <w:szCs w:val="22"/>
        </w:rPr>
        <w:t xml:space="preserve">The answer is structural, and it is the same property that makes the strategy defensible. The platform players optimise for data that lives inside their own environment; their AI layer is, by design, single-cloud and single-tenant. Revelate’s value is precisely the opposite — a neutral, cross-provider, multi-tenant governance and interrogation layer that spans Snowflake, Databricks, and the rest, enforcing complex entitlement models across data products from different providers and different organisations. That is the one thing a cloud vendor is structurally disinclined to build, because it dissolves the lock-in their own AI layer is meant to deepen. The partner-first posture in Section 3 is therefore deliberate: integrate with the platforms’ AI capabilities where they are strong, and own the cross-platform trust layer they will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9A5C" w:sz="18"/>
              <w:bottom w:val="single" w:color="D1D5DB" w:sz="1"/>
              <w:right w:val="single" w:color="D1D5DB" w:sz="1"/>
            </w:tcBorders>
            <w:shd w:fill="ECFDF5" w:val="clear"/>
            <w:tcMar>
              <w:top w:type="dxa" w:w="120"/>
              <w:left w:type="dxa" w:w="200"/>
              <w:bottom w:type="dxa" w:w="120"/>
              <w:right w:type="dxa" w:w="200"/>
            </w:tcMar>
          </w:tcPr>
          <w:p>
            <w:pPr>
              <w:spacing w:after="80" w:before="0"/>
            </w:pPr>
            <w:r>
              <w:rPr>
                <w:rFonts w:ascii="Arial" w:cs="Arial" w:eastAsia="Arial" w:hAnsi="Arial"/>
                <w:b/>
                <w:bCs/>
                <w:color w:val="009A5C"/>
                <w:sz w:val="22"/>
                <w:szCs w:val="22"/>
              </w:rPr>
              <w:t xml:space="preserve">The Strategic Bet</w:t>
            </w:r>
          </w:p>
          <w:p>
            <w:pPr>
              <w:spacing w:after="40" w:before="40"/>
            </w:pPr>
            <w:r>
              <w:rPr>
                <w:rFonts w:ascii="Arial" w:cs="Arial" w:eastAsia="Arial" w:hAnsi="Arial"/>
                <w:color w:val="1F2937"/>
                <w:sz w:val="20"/>
                <w:szCs w:val="20"/>
              </w:rPr>
              <w:t xml:space="preserve">Revelate wins by being the neutral intelligence layer across clouds — not by competing with any single</w:t>
            </w:r>
          </w:p>
          <w:p>
            <w:pPr>
              <w:spacing w:after="40" w:before="40"/>
            </w:pPr>
            <w:r>
              <w:rPr>
                <w:rFonts w:ascii="Arial" w:cs="Arial" w:eastAsia="Arial" w:hAnsi="Arial"/>
                <w:color w:val="1F2937"/>
                <w:sz w:val="20"/>
                <w:szCs w:val="20"/>
              </w:rPr>
              <w:t xml:space="preserve">platform inside its own walls. The cross-provider, multi-tenant governance moat is the reason the cloud</w:t>
            </w:r>
          </w:p>
          <w:p>
            <w:pPr>
              <w:spacing w:after="40" w:before="40"/>
            </w:pPr>
            <w:r>
              <w:rPr>
                <w:rFonts w:ascii="Arial" w:cs="Arial" w:eastAsia="Arial" w:hAnsi="Arial"/>
                <w:color w:val="1F2937"/>
                <w:sz w:val="20"/>
                <w:szCs w:val="20"/>
              </w:rPr>
              <w:t xml:space="preserve">vendors’ native AI features expand Revelate’s relevance rather than erase it.</w:t>
            </w:r>
          </w:p>
        </w:tc>
      </w:tr>
    </w:tbl>
    <w:p>
      <w:r>
        <w:br w:type="page"/>
      </w:r>
    </w:p>
    <w:p>
      <w:pPr>
        <w:pStyle w:val="Heading1"/>
      </w:pPr>
      <w:r>
        <w:rPr>
          <w:rFonts w:ascii="Arial" w:cs="Arial" w:eastAsia="Arial" w:hAnsi="Arial"/>
        </w:rPr>
        <w:t xml:space="preserve">Section 3: The AI Strategy</w:t>
      </w:r>
    </w:p>
    <w:p>
      <w:pPr>
        <w:spacing w:after="180" w:before="80"/>
      </w:pPr>
      <w:r>
        <w:rPr>
          <w:rFonts w:ascii="Arial" w:cs="Arial" w:eastAsia="Arial" w:hAnsi="Arial"/>
          <w:color w:val="1F2937"/>
          <w:sz w:val="22"/>
          <w:szCs w:val="22"/>
        </w:rPr>
        <w:t xml:space="preserve">The AI strategy I would pursue is not about adding a chat interface to an existing product. It is about rebuilding Revelate’s value proposition around intelligence, with the existing governed delivery platform as the foundation. The architecture has five interdependent layers, each building on the one below.</w:t>
      </w:r>
    </w:p>
    <w:p>
      <w:pPr>
        <w:pStyle w:val="Heading2"/>
      </w:pPr>
      <w:r>
        <w:rPr>
          <w:rFonts w:ascii="Arial" w:cs="Arial" w:eastAsia="Arial" w:hAnsi="Arial"/>
        </w:rPr>
        <w:t xml:space="preserve">Layer 1: The Semantic Layer</w:t>
      </w:r>
    </w:p>
    <w:p>
      <w:pPr>
        <w:spacing w:after="180" w:before="80"/>
      </w:pPr>
      <w:r>
        <w:rPr>
          <w:rFonts w:ascii="Arial" w:cs="Arial" w:eastAsia="Arial" w:hAnsi="Arial"/>
          <w:color w:val="1F2937"/>
          <w:sz w:val="22"/>
          <w:szCs w:val="22"/>
        </w:rPr>
        <w:t xml:space="preserve">Everything in the AI stack depends on a semantic layer: a structured translation between raw data schemas and business-meaningful concepts. Without it, AI models misinterpret column names, produce incorrect aggregations, and fail to join across data products in ways that maintain meaning. It is the foundation on which all other layers depend.</w:t>
      </w:r>
    </w:p>
    <w:p>
      <w:pPr>
        <w:spacing w:after="180" w:before="80"/>
      </w:pPr>
      <w:r>
        <w:rPr>
          <w:rFonts w:ascii="Arial" w:cs="Arial" w:eastAsia="Arial" w:hAnsi="Arial"/>
          <w:color w:val="1F2937"/>
          <w:sz w:val="22"/>
          <w:szCs w:val="22"/>
        </w:rPr>
        <w:t xml:space="preserve">My approach is partner-first. Rather than investing significant engineering capacity in building a proprietary semantic layer from scratch, I would partner with an established provider — such as Cube.dev or the dbt Semantic Layer — to deliver a working implementation quickly. This serves two purposes: it generates near-term customer and prospect value, and it produces the data we need to develop our own native semantic intelligence over time.</w:t>
      </w:r>
    </w:p>
    <w:p>
      <w:pPr>
        <w:spacing w:after="180" w:before="80"/>
      </w:pPr>
      <w:r>
        <w:rPr>
          <w:rFonts w:ascii="Arial" w:cs="Arial" w:eastAsia="Arial" w:hAnsi="Arial"/>
          <w:color w:val="1F2937"/>
          <w:sz w:val="22"/>
          <w:szCs w:val="22"/>
        </w:rPr>
        <w:t xml:space="preserve">Specifically, I would engage a data scientist to perform structured analyses against the usage patterns, query failure events, entity resolution errors, and successful answer events from the partner implementation. Those patterns become the training signal for a Revelate-native semantic model — defensible IP that no competitor can replicate without the same installed base. Any partnership agreement must preserve our right to use anonymised telemetry for this purpose.</w:t>
      </w:r>
    </w:p>
    <w:p>
      <w:pPr>
        <w:pStyle w:val="Heading2"/>
      </w:pPr>
      <w:r>
        <w:rPr>
          <w:rFonts w:ascii="Arial" w:cs="Arial" w:eastAsia="Arial" w:hAnsi="Arial"/>
        </w:rPr>
        <w:t xml:space="preserve">Layer 2: The MCP Interface</w:t>
      </w:r>
    </w:p>
    <w:p>
      <w:pPr>
        <w:spacing w:after="180" w:before="80"/>
      </w:pPr>
      <w:r>
        <w:rPr>
          <w:rFonts w:ascii="Arial" w:cs="Arial" w:eastAsia="Arial" w:hAnsi="Arial"/>
          <w:color w:val="1F2937"/>
          <w:sz w:val="22"/>
          <w:szCs w:val="22"/>
        </w:rPr>
        <w:t xml:space="preserve">I would build a fully SOC 2 and ISO 27001-compliant Model Context Protocol (MCP) server over Revelate’s data catalogue. MCP is emerging as a standard protocol for AI model interaction with external data and tools. Building to this standard means Revelate is compatible with Claude, Cursor, and every MCP-enabled AI framework out of the box — a meaningful ecosystem advantage.</w:t>
      </w:r>
    </w:p>
    <w:p>
      <w:pPr>
        <w:spacing w:after="180" w:before="80"/>
      </w:pPr>
      <w:r>
        <w:rPr>
          <w:rFonts w:ascii="Arial" w:cs="Arial" w:eastAsia="Arial" w:hAnsi="Arial"/>
          <w:color w:val="1F2937"/>
          <w:sz w:val="22"/>
          <w:szCs w:val="22"/>
        </w:rPr>
        <w:t xml:space="preserve">Critically, this is infrastructure, not a GTM story. The conversation with a Chief Data Officer leads with outcomes — faster data access, richer analytics, auditable AI answers — not with protocol specifications.</w:t>
      </w:r>
    </w:p>
    <w:p>
      <w:pPr>
        <w:spacing w:after="180" w:before="80"/>
      </w:pPr>
      <w:r>
        <w:rPr>
          <w:rFonts w:ascii="Arial" w:cs="Arial" w:eastAsia="Arial" w:hAnsi="Arial"/>
          <w:color w:val="1F2937"/>
          <w:sz w:val="22"/>
          <w:szCs w:val="22"/>
        </w:rPr>
        <w:t xml:space="preserve">The architecture must support model flexibility from day one. Enterprise customers — particularly in financial services and healthcare — will not send proprietary data through third-party LLM APIs they do not control. The design must accommodate Revelate-hosted models, customer VPC-deployed models, and bring-your-own API key configurations. This is not a feature to add later: it must be designed in from the start.</w:t>
      </w:r>
    </w:p>
    <w:p>
      <w:pPr>
        <w:pStyle w:val="Heading2"/>
      </w:pPr>
      <w:r>
        <w:rPr>
          <w:rFonts w:ascii="Arial" w:cs="Arial" w:eastAsia="Arial" w:hAnsi="Arial"/>
        </w:rPr>
        <w:t xml:space="preserve">Layer 3: Agentic Data Product Creation</w:t>
      </w:r>
    </w:p>
    <w:p>
      <w:pPr>
        <w:spacing w:after="180" w:before="80"/>
      </w:pPr>
      <w:r>
        <w:rPr>
          <w:rFonts w:ascii="Arial" w:cs="Arial" w:eastAsia="Arial" w:hAnsi="Arial"/>
          <w:color w:val="1F2937"/>
          <w:sz w:val="22"/>
          <w:szCs w:val="22"/>
        </w:rPr>
        <w:t xml:space="preserve">This is the supply-side multiplier. Currently, building a data product on Revelate requires a data engineer, weeks of work, manual schema documentation, and careful entitlement configuration. That constraint limits the number of data products on the platform and therefore the value available to consumers.</w:t>
      </w:r>
    </w:p>
    <w:p>
      <w:pPr>
        <w:spacing w:after="180" w:before="80"/>
      </w:pPr>
      <w:r>
        <w:rPr>
          <w:rFonts w:ascii="Arial" w:cs="Arial" w:eastAsia="Arial" w:hAnsi="Arial"/>
          <w:color w:val="1F2937"/>
          <w:sz w:val="22"/>
          <w:szCs w:val="22"/>
        </w:rPr>
        <w:t xml:space="preserve">An AI agent that can scan an organisation’s existing Snowflake or Databricks environment, identify high-value datasets, propose a data product structure, draft metadata and schema documentation, and pre-configure entitlements can compress this timeline from weeks to days — and, as the agent matures, potentially hours. The implications are significant: more data products, created faster, by teams that previously required dedicated engineering resource. This expands Revelate’s addressable market from “companies with data teams to productise assets” to “any organisation with data sitting in a cloud environment.”</w:t>
      </w:r>
    </w:p>
    <w:p>
      <w:pPr>
        <w:pStyle w:val="Heading2"/>
      </w:pPr>
      <w:r>
        <w:rPr>
          <w:rFonts w:ascii="Arial" w:cs="Arial" w:eastAsia="Arial" w:hAnsi="Arial"/>
        </w:rPr>
        <w:t xml:space="preserve">Layer 4: Agentic Interrogation Layer</w:t>
      </w:r>
    </w:p>
    <w:p>
      <w:pPr>
        <w:spacing w:after="180" w:before="80"/>
      </w:pPr>
      <w:r>
        <w:rPr>
          <w:rFonts w:ascii="Arial" w:cs="Arial" w:eastAsia="Arial" w:hAnsi="Arial"/>
          <w:color w:val="1F2937"/>
          <w:sz w:val="22"/>
          <w:szCs w:val="22"/>
        </w:rPr>
        <w:t xml:space="preserve">This is the demand-side experience — what business users interact with directly. A natural language interface spanning all data products available to a given user, respecting every RBAC policy, tenancy boundary, and data restriction configured in the platform, returning auditable answers in seconds.</w:t>
      </w:r>
    </w:p>
    <w:p>
      <w:pPr>
        <w:spacing w:after="180" w:before="80"/>
      </w:pPr>
      <w:r>
        <w:rPr>
          <w:rFonts w:ascii="Arial" w:cs="Arial" w:eastAsia="Arial" w:hAnsi="Arial"/>
          <w:color w:val="1F2937"/>
          <w:sz w:val="22"/>
          <w:szCs w:val="22"/>
        </w:rPr>
        <w:t xml:space="preserve">The multi-tenant RBAC challenge is where Revelate’s existing governance infrastructure becomes a genuine competitive moat. Building a ‘chat with your data’ experience is relatively straightforward. Building one that correctly enforces complex, multi-tenant permission models across dozens of data products from different providers — without hallucinating access rights or leaking data across tenancy boundaries — is very hard. Revelate’s governance layer is the foundation that makes this trustworthy.</w:t>
      </w:r>
    </w:p>
    <w:p>
      <w:pPr>
        <w:pStyle w:val="Heading2"/>
      </w:pPr>
      <w:r>
        <w:rPr>
          <w:rFonts w:ascii="Arial" w:cs="Arial" w:eastAsia="Arial" w:hAnsi="Arial"/>
        </w:rPr>
        <w:t xml:space="preserve">Layer 5: The Data Reliability Layer</w:t>
      </w:r>
    </w:p>
    <w:p>
      <w:pPr>
        <w:spacing w:after="180" w:before="80"/>
      </w:pPr>
      <w:r>
        <w:rPr>
          <w:rFonts w:ascii="Arial" w:cs="Arial" w:eastAsia="Arial" w:hAnsi="Arial"/>
          <w:color w:val="1F2937"/>
          <w:sz w:val="22"/>
          <w:szCs w:val="22"/>
        </w:rPr>
        <w:t xml:space="preserve">Built on an OpenTelemetry foundation, this layer is simultaneously a compliance requirement, a product trust mechanism, and a business intelligence flywheel.</w:t>
      </w:r>
    </w:p>
    <w:p>
      <w:pPr>
        <w:spacing w:after="180" w:before="80"/>
      </w:pPr>
      <w:r>
        <w:rPr>
          <w:rFonts w:ascii="Arial" w:cs="Arial" w:eastAsia="Arial" w:hAnsi="Arial"/>
          <w:color w:val="1F2937"/>
          <w:sz w:val="22"/>
          <w:szCs w:val="22"/>
        </w:rPr>
        <w:t xml:space="preserve">As an availability and conflict engine, it provides: real-time monitoring of data product freshness and pipeline health; detection of schema conflicts (the same entity defined differently across products); semantic conflict identification (two data products returning contradictory values for the same metric); and AI-assisted conflict arbitration that surfaces discrepancies to users with explanation and source lineage.</w:t>
      </w:r>
    </w:p>
    <w:p>
      <w:pPr>
        <w:spacing w:after="180" w:before="80"/>
      </w:pPr>
      <w:r>
        <w:rPr>
          <w:rFonts w:ascii="Arial" w:cs="Arial" w:eastAsia="Arial" w:hAnsi="Arial"/>
          <w:color w:val="1F2937"/>
          <w:sz w:val="22"/>
          <w:szCs w:val="22"/>
        </w:rPr>
        <w:t xml:space="preserve">As a business intelligence flywheel, the telemetry layer reveals which data products are most queried, what questions cannot currently be answered (a direct product gap signal), which users are generating value versus churning, and what data joins are being attempted across products. This usage intelligence feeds product recommendations, pricing decisions, and eventually a second revenue stream as a product in its own right.</w:t>
      </w:r>
    </w:p>
    <w:p>
      <w:r>
        <w:br w:type="page"/>
      </w:r>
    </w:p>
    <w:p>
      <w:pPr>
        <w:pStyle w:val="Heading1"/>
      </w:pPr>
      <w:r>
        <w:rPr>
          <w:rFonts w:ascii="Arial" w:cs="Arial" w:eastAsia="Arial" w:hAnsi="Arial"/>
        </w:rPr>
        <w:t xml:space="preserve">Section 4: Go-to-Market Strategy</w:t>
      </w:r>
    </w:p>
    <w:p>
      <w:pPr>
        <w:spacing w:after="180" w:before="80"/>
      </w:pPr>
      <w:r>
        <w:rPr>
          <w:rFonts w:ascii="Arial" w:cs="Arial" w:eastAsia="Arial" w:hAnsi="Arial"/>
          <w:color w:val="1F2937"/>
          <w:sz w:val="22"/>
          <w:szCs w:val="22"/>
        </w:rPr>
        <w:t xml:space="preserve">GTM execution is, in my understanding, the most significant near-term limiter for Revelate. The strategic direction I would pursue is built around three principles: a sequenced entry and expansion motion per account, a vertical wedge that creates concentrated reference value, and a pricing architecture that grows naturally with adoption.</w:t>
      </w:r>
    </w:p>
    <w:p>
      <w:pPr>
        <w:pStyle w:val="Heading2"/>
      </w:pPr>
      <w:r>
        <w:rPr>
          <w:rFonts w:ascii="Arial" w:cs="Arial" w:eastAsia="Arial" w:hAnsi="Arial"/>
        </w:rPr>
        <w:t xml:space="preserve">4.1  The Entry and Expansion Motion</w:t>
      </w:r>
    </w:p>
    <w:p>
      <w:pPr>
        <w:spacing w:after="180" w:before="80"/>
      </w:pPr>
      <w:r>
        <w:rPr>
          <w:rFonts w:ascii="Arial" w:cs="Arial" w:eastAsia="Arial" w:hAnsi="Arial"/>
          <w:color w:val="1F2937"/>
          <w:sz w:val="22"/>
          <w:szCs w:val="22"/>
        </w:rPr>
        <w:t xml:space="preserve">The CDO opens the door. The VP AI/Analytics becomes the internal engine of growth.</w:t>
      </w:r>
    </w:p>
    <w:p>
      <w:pPr>
        <w:spacing w:after="180" w:before="80"/>
      </w:pPr>
      <w:r>
        <w:rPr>
          <w:rFonts w:ascii="Arial" w:cs="Arial" w:eastAsia="Arial" w:hAnsi="Arial"/>
          <w:color w:val="1F2937"/>
          <w:sz w:val="22"/>
          <w:szCs w:val="22"/>
        </w:rPr>
        <w:t xml:space="preserve">The Chief Data Officer remains the natural entry buyer — they have the mandate, the budget, and the vocabulary to make the initial platform decision. The conversation at this stage centres on data product governance, operational efficiency, and the strategic value of a self-serve data delivery infrastructure.</w:t>
      </w:r>
    </w:p>
    <w:p>
      <w:pPr>
        <w:spacing w:after="180" w:before="80"/>
      </w:pPr>
      <w:r>
        <w:rPr>
          <w:rFonts w:ascii="Arial" w:cs="Arial" w:eastAsia="Arial" w:hAnsi="Arial"/>
          <w:color w:val="1F2937"/>
          <w:sz w:val="22"/>
          <w:szCs w:val="22"/>
        </w:rPr>
        <w:t xml:space="preserve">Once Revelate is deployed and the AI interrogation layer is live, the VP AI/Analytics becomes the loudest internal advocate. Their team’s day-to-day analytical capability is visibly transformed. That internal pull drives seat expansion, additional data product purchases, and multi-department rollout — without requiring a separate enterprise sales cycle for each expansion.</w:t>
      </w:r>
    </w:p>
    <w:p>
      <w:pPr>
        <w:spacing w:after="180" w:before="80"/>
      </w:pPr>
      <w:r>
        <w:rPr>
          <w:rFonts w:ascii="Arial" w:cs="Arial" w:eastAsia="Arial" w:hAnsi="Arial"/>
          <w:color w:val="1F2937"/>
          <w:sz w:val="22"/>
          <w:szCs w:val="22"/>
        </w:rPr>
        <w:t xml:space="preserve">The CIO enters as a later-stage governance and infrastructure validator. The Digital Transformation leader is an opportunistic entry point to leverage when available, not a systematic GTM motion to build the organisation around.</w:t>
      </w:r>
    </w:p>
    <w:p>
      <w:pPr>
        <w:pStyle w:val="Heading2"/>
      </w:pPr>
      <w:r>
        <w:rPr>
          <w:rFonts w:ascii="Arial" w:cs="Arial" w:eastAsia="Arial" w:hAnsi="Arial"/>
        </w:rPr>
        <w:t xml:space="preserve">4.2  The Financial Services Vertical Wedge</w:t>
      </w:r>
    </w:p>
    <w:p>
      <w:pPr>
        <w:spacing w:after="180" w:before="80"/>
      </w:pPr>
      <w:r>
        <w:rPr>
          <w:rFonts w:ascii="Arial" w:cs="Arial" w:eastAsia="Arial" w:hAnsi="Arial"/>
          <w:color w:val="1F2937"/>
          <w:sz w:val="22"/>
          <w:szCs w:val="22"/>
        </w:rPr>
        <w:t xml:space="preserve">Revelate appears to have natural DNA in financial services — publicly, the company has fintech roots and an investor base that includes CME Ventures and Illuminate Financial (to be confirmed in discovery). Financial data is the richest, most structured, highest-ACV vertical for data products, and the compliance requirements that make it challenging to serve also make successful deployments highly defensible reference customers.</w:t>
      </w:r>
    </w:p>
    <w:p>
      <w:pPr>
        <w:spacing w:after="180" w:before="80"/>
      </w:pPr>
      <w:r>
        <w:rPr>
          <w:rFonts w:ascii="Arial" w:cs="Arial" w:eastAsia="Arial" w:hAnsi="Arial"/>
          <w:color w:val="1F2937"/>
          <w:sz w:val="22"/>
          <w:szCs w:val="22"/>
        </w:rPr>
        <w:t xml:space="preserve">I would commit to financial services as the primary vertical wedge for the first 12–18 months: dedicated sales resources, vertical-specific product capabilities where needed, and a deliberate effort to build three to five flagship reference customers that become the foundation of the broader enterprise narrative.</w:t>
      </w:r>
    </w:p>
    <w:p>
      <w:pPr>
        <w:spacing w:after="180" w:before="80"/>
      </w:pPr>
      <w:r>
        <w:rPr>
          <w:rFonts w:ascii="Arial" w:cs="Arial" w:eastAsia="Arial" w:hAnsi="Arial"/>
          <w:color w:val="1F2937"/>
          <w:sz w:val="22"/>
          <w:szCs w:val="22"/>
        </w:rPr>
        <w:t xml:space="preserve">In parallel, I would begin roadmap discovery for the next vertical — likely healthcare data or media and advertising data, both of which share the structured, high-ACV, compliance-driven characteristics that make financial services an effective beachhead. The vertical expansion playbook built in financial services should be designed to be repeatable.</w:t>
      </w:r>
    </w:p>
    <w:p>
      <w:pPr>
        <w:pStyle w:val="Heading2"/>
      </w:pPr>
      <w:r>
        <w:rPr>
          <w:rFonts w:ascii="Arial" w:cs="Arial" w:eastAsia="Arial" w:hAnsi="Arial"/>
        </w:rPr>
        <w:t xml:space="preserve">4.3  Pricing Architecture</w:t>
      </w:r>
    </w:p>
    <w:p>
      <w:pPr>
        <w:spacing w:after="180" w:before="80"/>
      </w:pPr>
      <w:r>
        <w:rPr>
          <w:rFonts w:ascii="Arial" w:cs="Arial" w:eastAsia="Arial" w:hAnsi="Arial"/>
          <w:color w:val="1F2937"/>
          <w:sz w:val="22"/>
          <w:szCs w:val="22"/>
        </w:rPr>
        <w:t xml:space="preserve">The multi-buyer model requires a pricing structure that allows landing with one buyer and expanding to others without re-negotiating the original deal. I would explore a platform licence plus consumption model:</w:t>
      </w:r>
    </w:p>
    <w:p>
      <w:pPr>
        <w:pStyle w:val="ListParagraph"/>
        <w:numPr>
          <w:ilvl w:val="0"/>
          <w:numId w:val="2"/>
        </w:numPr>
        <w:spacing w:after="60" w:before="60"/>
      </w:pPr>
      <w:r>
        <w:rPr>
          <w:rFonts w:ascii="Arial" w:cs="Arial" w:eastAsia="Arial" w:hAnsi="Arial"/>
          <w:b/>
          <w:bCs/>
          <w:color w:val="1F2937"/>
          <w:sz w:val="22"/>
          <w:szCs w:val="22"/>
        </w:rPr>
        <w:t xml:space="preserve">Platform licence:</w:t>
      </w:r>
      <w:r>
        <w:rPr>
          <w:rFonts w:ascii="Arial" w:cs="Arial" w:eastAsia="Arial" w:hAnsi="Arial"/>
          <w:color w:val="1F2937"/>
          <w:sz w:val="22"/>
          <w:szCs w:val="22"/>
        </w:rPr>
        <w:t xml:space="preserve"> Covers governance infrastructure, catalogue, MCP server, and data reliability layer. Purchased by the CDO or CIO. Predictable, recurring ARR.</w:t>
      </w:r>
    </w:p>
    <w:p>
      <w:pPr>
        <w:pStyle w:val="ListParagraph"/>
        <w:numPr>
          <w:ilvl w:val="0"/>
          <w:numId w:val="2"/>
        </w:numPr>
        <w:spacing w:after="60" w:before="60"/>
      </w:pPr>
      <w:r>
        <w:rPr>
          <w:rFonts w:ascii="Arial" w:cs="Arial" w:eastAsia="Arial" w:hAnsi="Arial"/>
          <w:b/>
          <w:bCs/>
          <w:color w:val="1F2937"/>
          <w:sz w:val="22"/>
          <w:szCs w:val="22"/>
        </w:rPr>
        <w:t xml:space="preserve">Consumption layer:</w:t>
      </w:r>
      <w:r>
        <w:rPr>
          <w:rFonts w:ascii="Arial" w:cs="Arial" w:eastAsia="Arial" w:hAnsi="Arial"/>
          <w:color w:val="1F2937"/>
          <w:sz w:val="22"/>
          <w:szCs w:val="22"/>
        </w:rPr>
        <w:t xml:space="preserve"> AI query volume, data product creation events, agentic workflow executions. Purchased incrementally as the VP AI/Analytics team scales adoption. Natural expansion revenue that does not require a sales motion to grow.</w:t>
      </w:r>
    </w:p>
    <w:p>
      <w:pPr>
        <w:spacing w:after="0" w:before="80"/>
      </w:pPr>
      <w:r>
        <w:t xml:space="preserve"/>
      </w:r>
    </w:p>
    <w:p>
      <w:pPr>
        <w:spacing w:after="180" w:before="80"/>
      </w:pPr>
      <w:r>
        <w:rPr>
          <w:rFonts w:ascii="Arial" w:cs="Arial" w:eastAsia="Arial" w:hAnsi="Arial"/>
          <w:color w:val="1F2937"/>
          <w:sz w:val="22"/>
          <w:szCs w:val="22"/>
        </w:rPr>
        <w:t xml:space="preserve">This structure creates a natural land-and-expand dynamic: the platform licence closes the initial deal, the consumption layer grows as value is demonstrated, and expansion becomes a consequence of usage rather than a separate sales cycle.</w:t>
      </w:r>
    </w:p>
    <w:p>
      <w:r>
        <w:br w:type="page"/>
      </w:r>
    </w:p>
    <w:p>
      <w:pPr>
        <w:pStyle w:val="Heading1"/>
      </w:pPr>
      <w:r>
        <w:rPr>
          <w:rFonts w:ascii="Arial" w:cs="Arial" w:eastAsia="Arial" w:hAnsi="Arial"/>
        </w:rPr>
        <w:t xml:space="preserve">Section 5: Product Roadmap</w:t>
      </w:r>
    </w:p>
    <w:p>
      <w:pPr>
        <w:spacing w:after="180" w:before="80"/>
      </w:pPr>
      <w:r>
        <w:rPr>
          <w:rFonts w:ascii="Arial" w:cs="Arial" w:eastAsia="Arial" w:hAnsi="Arial"/>
          <w:color w:val="1F2937"/>
          <w:sz w:val="22"/>
          <w:szCs w:val="22"/>
        </w:rPr>
        <w:t xml:space="preserve">The roadmap is deliberately phased to balance near-term value delivery with longer-term architectural investment. Each phase has a defined goal and set of outcomes. Phase 1 opens with the 30–60 day discovery sprint described in Section 1; the build items listed under it are provisional and explicitly gated on what that discovery surfaces. Timelines and scope will be refined accordingly.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c>
          <w:tcPr>
            <w:tcW w:type="dxa" w:w="144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Phase</w:t>
            </w:r>
          </w:p>
        </w:tc>
        <w:tc>
          <w:tcPr>
            <w:tcW w:type="dxa" w:w="1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vAlign w:val="center"/>
          </w:tcPr>
          <w:p>
            <w:r>
              <w:rPr>
                <w:rFonts w:ascii="Arial" w:cs="Arial" w:eastAsia="Arial" w:hAnsi="Arial"/>
                <w:b/>
                <w:bCs/>
                <w:color w:val="FFFFFF"/>
                <w:sz w:val="22"/>
                <w:szCs w:val="22"/>
              </w:rPr>
              <w:t xml:space="preserve">Timeframe</w:t>
            </w:r>
          </w:p>
        </w:tc>
        <w:tc>
          <w:tcPr>
            <w:tcW w:type="dxa" w:w="612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rFonts w:ascii="Arial" w:cs="Arial" w:eastAsia="Arial" w:hAnsi="Arial"/>
                <w:b/>
                <w:bCs/>
                <w:color w:val="FFFFFF"/>
                <w:sz w:val="22"/>
                <w:szCs w:val="22"/>
              </w:rPr>
              <w:t xml:space="preserve">Focus and Deliverables</w:t>
            </w:r>
          </w:p>
        </w:tc>
      </w:tr>
      <w:tr>
        <w:tc>
          <w:tcPr>
            <w:tcW w:type="dxa" w:w="1440"/>
            <w:tcBorders>
              <w:top w:val="single" w:color="D1D5DB" w:sz="1"/>
              <w:left w:val="single" w:color="D1D5DB" w:sz="1"/>
              <w:bottom w:val="single" w:color="D1D5DB" w:sz="1"/>
              <w:right w:val="single" w:color="D1D5DB" w:sz="1"/>
            </w:tcBorders>
            <w:shd w:fill="009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1</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r>
              <w:rPr>
                <w:rFonts w:ascii="Arial" w:cs="Arial" w:eastAsia="Arial" w:hAnsi="Arial"/>
                <w:b/>
                <w:bCs/>
                <w:color w:val="1F2937"/>
                <w:sz w:val="20"/>
                <w:szCs w:val="20"/>
              </w:rPr>
              <w:t xml:space="preserve">0 — 90 Days</w:t>
            </w:r>
          </w:p>
        </w:tc>
        <w:tc>
          <w:tcPr>
            <w:tcW w:type="dxa" w:w="6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after="30" w:before="30"/>
            </w:pPr>
            <w:r>
              <w:rPr>
                <w:rFonts w:ascii="Arial" w:cs="Arial" w:eastAsia="Arial" w:hAnsi="Arial"/>
                <w:color w:val="1F2937"/>
                <w:sz w:val="20"/>
                <w:szCs w:val="20"/>
              </w:rPr>
              <w:t xml:space="preserve">Discovery completion and leadership alignment</w:t>
            </w:r>
          </w:p>
          <w:p>
            <w:pPr>
              <w:spacing w:after="30" w:before="30"/>
            </w:pPr>
            <w:r>
              <w:rPr>
                <w:rFonts w:ascii="Arial" w:cs="Arial" w:eastAsia="Arial" w:hAnsi="Arial"/>
                <w:color w:val="1F2937"/>
                <w:sz w:val="20"/>
                <w:szCs w:val="20"/>
              </w:rPr>
              <w:t xml:space="preserve">Architecture decisions and AI strategy validation</w:t>
            </w:r>
          </w:p>
          <w:p>
            <w:pPr>
              <w:spacing w:after="30" w:before="30"/>
            </w:pPr>
            <w:r>
              <w:rPr>
                <w:rFonts w:ascii="Arial" w:cs="Arial" w:eastAsia="Arial" w:hAnsi="Arial"/>
                <w:color w:val="1F2937"/>
                <w:sz w:val="20"/>
                <w:szCs w:val="20"/>
              </w:rPr>
              <w:t xml:space="preserve">Semantic layer partner selection and onboarding</w:t>
            </w:r>
          </w:p>
          <w:p>
            <w:pPr>
              <w:spacing w:after="30" w:before="30"/>
            </w:pPr>
            <w:r>
              <w:rPr>
                <w:rFonts w:ascii="Arial" w:cs="Arial" w:eastAsia="Arial" w:hAnsi="Arial"/>
                <w:color w:val="1F2937"/>
                <w:sz w:val="20"/>
                <w:szCs w:val="20"/>
              </w:rPr>
              <w:t xml:space="preserve">MCP proof of concept (single customer environment)</w:t>
            </w:r>
          </w:p>
          <w:p>
            <w:pPr>
              <w:spacing w:after="30" w:before="30"/>
            </w:pPr>
            <w:r>
              <w:rPr>
                <w:rFonts w:ascii="Arial" w:cs="Arial" w:eastAsia="Arial" w:hAnsi="Arial"/>
                <w:color w:val="1F2937"/>
                <w:sz w:val="20"/>
                <w:szCs w:val="20"/>
              </w:rPr>
              <w:t xml:space="preserve">Initial OpenTelemetry instrumentation</w:t>
            </w:r>
          </w:p>
        </w:tc>
      </w:tr>
      <w:tr>
        <w:tc>
          <w:tcPr>
            <w:tcW w:type="dxa" w:w="1440"/>
            <w:tcBorders>
              <w:top w:val="single" w:color="D1D5DB" w:sz="1"/>
              <w:left w:val="single" w:color="D1D5DB" w:sz="1"/>
              <w:bottom w:val="single" w:color="D1D5DB" w:sz="1"/>
              <w:right w:val="single" w:color="D1D5DB" w:sz="1"/>
            </w:tcBorders>
            <w:shd w:fill="2D7A5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2</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r>
              <w:rPr>
                <w:rFonts w:ascii="Arial" w:cs="Arial" w:eastAsia="Arial" w:hAnsi="Arial"/>
                <w:b/>
                <w:bCs/>
                <w:color w:val="1F2937"/>
                <w:sz w:val="20"/>
                <w:szCs w:val="20"/>
              </w:rPr>
              <w:t xml:space="preserve">90 Days — 12 Months</w:t>
            </w:r>
          </w:p>
        </w:tc>
        <w:tc>
          <w:tcPr>
            <w:tcW w:type="dxa" w:w="6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after="30" w:before="30"/>
            </w:pPr>
            <w:r>
              <w:rPr>
                <w:rFonts w:ascii="Arial" w:cs="Arial" w:eastAsia="Arial" w:hAnsi="Arial"/>
                <w:color w:val="1F2937"/>
                <w:sz w:val="20"/>
                <w:szCs w:val="20"/>
              </w:rPr>
              <w:t xml:space="preserve">Semantic layer partner integration (production-grade)</w:t>
            </w:r>
          </w:p>
          <w:p>
            <w:pPr>
              <w:spacing w:after="30" w:before="30"/>
            </w:pPr>
            <w:r>
              <w:rPr>
                <w:rFonts w:ascii="Arial" w:cs="Arial" w:eastAsia="Arial" w:hAnsi="Arial"/>
                <w:color w:val="1F2937"/>
                <w:sz w:val="20"/>
                <w:szCs w:val="20"/>
              </w:rPr>
              <w:t xml:space="preserve">MCP server with SOC 2 compliance</w:t>
            </w:r>
          </w:p>
          <w:p>
            <w:pPr>
              <w:spacing w:after="30" w:before="30"/>
            </w:pPr>
            <w:r>
              <w:rPr>
                <w:rFonts w:ascii="Arial" w:cs="Arial" w:eastAsia="Arial" w:hAnsi="Arial"/>
                <w:color w:val="1F2937"/>
                <w:sz w:val="20"/>
                <w:szCs w:val="20"/>
              </w:rPr>
              <w:t xml:space="preserve">Agentic interrogation layer — limited beta</w:t>
            </w:r>
          </w:p>
          <w:p>
            <w:pPr>
              <w:spacing w:after="30" w:before="30"/>
            </w:pPr>
            <w:r>
              <w:rPr>
                <w:rFonts w:ascii="Arial" w:cs="Arial" w:eastAsia="Arial" w:hAnsi="Arial"/>
                <w:color w:val="1F2937"/>
                <w:sz w:val="20"/>
                <w:szCs w:val="20"/>
              </w:rPr>
              <w:t xml:space="preserve">AI-assisted data product creation — alpha</w:t>
            </w:r>
          </w:p>
          <w:p>
            <w:pPr>
              <w:spacing w:after="30" w:before="30"/>
            </w:pPr>
            <w:r>
              <w:rPr>
                <w:rFonts w:ascii="Arial" w:cs="Arial" w:eastAsia="Arial" w:hAnsi="Arial"/>
                <w:color w:val="1F2937"/>
                <w:sz w:val="20"/>
                <w:szCs w:val="20"/>
              </w:rPr>
              <w:t xml:space="preserve">Data reliability layer — Phase 1 (availability)</w:t>
            </w:r>
          </w:p>
        </w:tc>
      </w:tr>
      <w:tr>
        <w:tc>
          <w:tcPr>
            <w:tcW w:type="dxa" w:w="1440"/>
            <w:tcBorders>
              <w:top w:val="single" w:color="D1D5DB" w:sz="1"/>
              <w:left w:val="single" w:color="D1D5DB" w:sz="1"/>
              <w:bottom w:val="single" w:color="D1D5DB" w:sz="1"/>
              <w:right w:val="single" w:color="D1D5DB" w:sz="1"/>
            </w:tcBorders>
            <w:shd w:fill="1A5C4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3</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r>
              <w:rPr>
                <w:rFonts w:ascii="Arial" w:cs="Arial" w:eastAsia="Arial" w:hAnsi="Arial"/>
                <w:b/>
                <w:bCs/>
                <w:color w:val="1F2937"/>
                <w:sz w:val="20"/>
                <w:szCs w:val="20"/>
              </w:rPr>
              <w:t xml:space="preserve">12 — 24 Months</w:t>
            </w:r>
          </w:p>
        </w:tc>
        <w:tc>
          <w:tcPr>
            <w:tcW w:type="dxa" w:w="6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after="30" w:before="30"/>
            </w:pPr>
            <w:r>
              <w:rPr>
                <w:rFonts w:ascii="Arial" w:cs="Arial" w:eastAsia="Arial" w:hAnsi="Arial"/>
                <w:color w:val="1F2937"/>
                <w:sz w:val="20"/>
                <w:szCs w:val="20"/>
              </w:rPr>
              <w:t xml:space="preserve">Agentic interrogation layer — general availability</w:t>
            </w:r>
          </w:p>
          <w:p>
            <w:pPr>
              <w:spacing w:after="30" w:before="30"/>
            </w:pPr>
            <w:r>
              <w:rPr>
                <w:rFonts w:ascii="Arial" w:cs="Arial" w:eastAsia="Arial" w:hAnsi="Arial"/>
                <w:color w:val="1F2937"/>
                <w:sz w:val="20"/>
                <w:szCs w:val="20"/>
              </w:rPr>
              <w:t xml:space="preserve">Agentic data product creation — general availability</w:t>
            </w:r>
          </w:p>
          <w:p>
            <w:pPr>
              <w:spacing w:after="30" w:before="30"/>
            </w:pPr>
            <w:r>
              <w:rPr>
                <w:rFonts w:ascii="Arial" w:cs="Arial" w:eastAsia="Arial" w:hAnsi="Arial"/>
                <w:color w:val="1F2937"/>
                <w:sz w:val="20"/>
                <w:szCs w:val="20"/>
              </w:rPr>
              <w:t xml:space="preserve">Conflict engine and full data reliability layer</w:t>
            </w:r>
          </w:p>
          <w:p>
            <w:pPr>
              <w:spacing w:after="30" w:before="30"/>
            </w:pPr>
            <w:r>
              <w:rPr>
                <w:rFonts w:ascii="Arial" w:cs="Arial" w:eastAsia="Arial" w:hAnsi="Arial"/>
                <w:color w:val="1F2937"/>
                <w:sz w:val="20"/>
                <w:szCs w:val="20"/>
              </w:rPr>
              <w:t xml:space="preserve">Consumption-based pricing rollout</w:t>
            </w:r>
          </w:p>
          <w:p>
            <w:pPr>
              <w:spacing w:after="30" w:before="30"/>
            </w:pPr>
            <w:r>
              <w:rPr>
                <w:rFonts w:ascii="Arial" w:cs="Arial" w:eastAsia="Arial" w:hAnsi="Arial"/>
                <w:color w:val="1F2937"/>
                <w:sz w:val="20"/>
                <w:szCs w:val="20"/>
              </w:rPr>
              <w:t xml:space="preserve">Second vertical discovery and initial entry</w:t>
            </w:r>
          </w:p>
        </w:tc>
      </w:tr>
      <w:tr>
        <w:tc>
          <w:tcPr>
            <w:tcW w:type="dxa" w:w="1440"/>
            <w:tcBorders>
              <w:top w:val="single" w:color="D1D5DB" w:sz="1"/>
              <w:left w:val="single" w:color="D1D5DB" w:sz="1"/>
              <w:bottom w:val="single" w:color="D1D5DB" w:sz="1"/>
              <w:right w:val="single" w:color="D1D5DB" w:sz="1"/>
            </w:tcBorders>
            <w:shd w:fill="0F3D2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4</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vAlign w:val="center"/>
          </w:tcPr>
          <w:p>
            <w:r>
              <w:rPr>
                <w:rFonts w:ascii="Arial" w:cs="Arial" w:eastAsia="Arial" w:hAnsi="Arial"/>
                <w:b/>
                <w:bCs/>
                <w:color w:val="1F2937"/>
                <w:sz w:val="20"/>
                <w:szCs w:val="20"/>
              </w:rPr>
              <w:t xml:space="preserve">24 — 36 Months</w:t>
            </w:r>
          </w:p>
        </w:tc>
        <w:tc>
          <w:tcPr>
            <w:tcW w:type="dxa" w:w="612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pPr>
              <w:spacing w:after="30" w:before="30"/>
            </w:pPr>
            <w:r>
              <w:rPr>
                <w:rFonts w:ascii="Arial" w:cs="Arial" w:eastAsia="Arial" w:hAnsi="Arial"/>
                <w:color w:val="1F2937"/>
                <w:sz w:val="20"/>
                <w:szCs w:val="20"/>
              </w:rPr>
              <w:t xml:space="preserve">Marketplace network effects at scale</w:t>
            </w:r>
          </w:p>
          <w:p>
            <w:pPr>
              <w:spacing w:after="30" w:before="30"/>
            </w:pPr>
            <w:r>
              <w:rPr>
                <w:rFonts w:ascii="Arial" w:cs="Arial" w:eastAsia="Arial" w:hAnsi="Arial"/>
                <w:color w:val="1F2937"/>
                <w:sz w:val="20"/>
                <w:szCs w:val="20"/>
              </w:rPr>
              <w:t xml:space="preserve">Native semantic model (proprietary IP)</w:t>
            </w:r>
          </w:p>
          <w:p>
            <w:pPr>
              <w:spacing w:after="30" w:before="30"/>
            </w:pPr>
            <w:r>
              <w:rPr>
                <w:rFonts w:ascii="Arial" w:cs="Arial" w:eastAsia="Arial" w:hAnsi="Arial"/>
                <w:color w:val="1F2937"/>
                <w:sz w:val="20"/>
                <w:szCs w:val="20"/>
              </w:rPr>
              <w:t xml:space="preserve">Data reliability as a standalone product offer</w:t>
            </w:r>
          </w:p>
          <w:p>
            <w:pPr>
              <w:spacing w:after="30" w:before="30"/>
            </w:pPr>
            <w:r>
              <w:rPr>
                <w:rFonts w:ascii="Arial" w:cs="Arial" w:eastAsia="Arial" w:hAnsi="Arial"/>
                <w:color w:val="1F2937"/>
                <w:sz w:val="20"/>
                <w:szCs w:val="20"/>
              </w:rPr>
              <w:t xml:space="preserve">Platform positioned for $25M+ ARR</w:t>
            </w:r>
          </w:p>
        </w:tc>
      </w:tr>
    </w:tbl>
    <w:p>
      <w:pPr>
        <w:spacing w:after="0" w:before="200"/>
      </w:pPr>
      <w:r>
        <w:t xml:space="preserve"/>
      </w:r>
    </w:p>
    <w:p>
      <w:pPr>
        <w:spacing w:after="180" w:before="80"/>
      </w:pPr>
      <w:r>
        <w:rPr>
          <w:rFonts w:ascii="Arial" w:cs="Arial" w:eastAsia="Arial" w:hAnsi="Arial"/>
          <w:color w:val="1F2937"/>
          <w:sz w:val="22"/>
          <w:szCs w:val="22"/>
        </w:rPr>
        <w:t xml:space="preserve">Phase 1 does not attempt to deliver enterprise-grade AI experiences. The honest 90-day ambition is alignment, key architecture decisions, and a proof of concept that validates the thesis against a real data environment. That prototype informs investor conversations and design partner recruitment simultaneously.</w:t>
      </w:r>
    </w:p>
    <w:p>
      <w:r>
        <w:br w:type="page"/>
      </w:r>
    </w:p>
    <w:p>
      <w:pPr>
        <w:pStyle w:val="Heading1"/>
      </w:pPr>
      <w:r>
        <w:rPr>
          <w:rFonts w:ascii="Arial" w:cs="Arial" w:eastAsia="Arial" w:hAnsi="Arial"/>
        </w:rPr>
        <w:t xml:space="preserve">Section 6: Engineering Culture and Velocity</w:t>
      </w:r>
    </w:p>
    <w:p>
      <w:pPr>
        <w:spacing w:after="180" w:before="80"/>
      </w:pPr>
      <w:r>
        <w:rPr>
          <w:rFonts w:ascii="Arial" w:cs="Arial" w:eastAsia="Arial" w:hAnsi="Arial"/>
          <w:color w:val="1F2937"/>
          <w:sz w:val="22"/>
          <w:szCs w:val="22"/>
        </w:rPr>
        <w:t xml:space="preserve">The engineering strategy is inseparable from the product strategy. With a lean team of roughly eight engineers, delivering against an ambitious AI roadmap requires both disciplined prioritisation and a deliberate shift in how the team works. The single highest-leverage cultural change I would introduce is making Revelate an AI-native engineering organisation.</w:t>
      </w:r>
    </w:p>
    <w:p>
      <w:pPr>
        <w:pStyle w:val="Heading2"/>
      </w:pPr>
      <w:r>
        <w:rPr>
          <w:rFonts w:ascii="Arial" w:cs="Arial" w:eastAsia="Arial" w:hAnsi="Arial"/>
        </w:rPr>
        <w:t xml:space="preserve">6.1  AI Authoring as an Engineering Practice</w:t>
      </w:r>
    </w:p>
    <w:p>
      <w:pPr>
        <w:spacing w:after="180" w:before="80"/>
      </w:pPr>
      <w:r>
        <w:rPr>
          <w:rFonts w:ascii="Arial" w:cs="Arial" w:eastAsia="Arial" w:hAnsi="Arial"/>
          <w:color w:val="1F2937"/>
          <w:sz w:val="22"/>
          <w:szCs w:val="22"/>
        </w:rPr>
        <w:t xml:space="preserve">Introducing AI authoring tools — for code generation, proof-of-concept bootstrapping, test coverage, and documentation — is not primarily a tooling decision. It is a practice change that, done properly, can plausibly lift a team of eight toward the output of a team of twelve to sixteen — an ambition to be earned through disciplined practice, not a multiplier to assume. Done poorly, it generates technical debt faster than humans can create it.</w:t>
      </w:r>
    </w:p>
    <w:p>
      <w:pPr>
        <w:spacing w:after="180" w:before="80"/>
      </w:pPr>
      <w:r>
        <w:rPr>
          <w:rFonts w:ascii="Arial" w:cs="Arial" w:eastAsia="Arial" w:hAnsi="Arial"/>
          <w:color w:val="1F2937"/>
          <w:sz w:val="22"/>
          <w:szCs w:val="22"/>
        </w:rPr>
        <w:t xml:space="preserve">To make this work effectively, I would establish four foundations:</w:t>
      </w:r>
    </w:p>
    <w:p>
      <w:pPr>
        <w:pStyle w:val="ListParagraph"/>
        <w:numPr>
          <w:ilvl w:val="0"/>
          <w:numId w:val="2"/>
        </w:numPr>
        <w:spacing w:after="60" w:before="60"/>
      </w:pPr>
      <w:r>
        <w:rPr>
          <w:rFonts w:ascii="Arial" w:cs="Arial" w:eastAsia="Arial" w:hAnsi="Arial"/>
          <w:b/>
          <w:bCs/>
          <w:color w:val="1F2937"/>
          <w:sz w:val="22"/>
          <w:szCs w:val="22"/>
        </w:rPr>
        <w:t xml:space="preserve">Prompting standards:</w:t>
      </w:r>
      <w:r>
        <w:rPr>
          <w:rFonts w:ascii="Arial" w:cs="Arial" w:eastAsia="Arial" w:hAnsi="Arial"/>
          <w:color w:val="1F2937"/>
          <w:sz w:val="22"/>
          <w:szCs w:val="22"/>
        </w:rPr>
        <w:t xml:space="preserve"> Shared conventions for how the team prompts for code generation, review, and testing. Consistency of approach drives consistency of output quality across the team.</w:t>
      </w:r>
    </w:p>
    <w:p>
      <w:pPr>
        <w:pStyle w:val="ListParagraph"/>
        <w:numPr>
          <w:ilvl w:val="0"/>
          <w:numId w:val="2"/>
        </w:numPr>
        <w:spacing w:after="60" w:before="60"/>
      </w:pPr>
      <w:r>
        <w:rPr>
          <w:rFonts w:ascii="Arial" w:cs="Arial" w:eastAsia="Arial" w:hAnsi="Arial"/>
          <w:b/>
          <w:bCs/>
          <w:color w:val="1F2937"/>
          <w:sz w:val="22"/>
          <w:szCs w:val="22"/>
        </w:rPr>
        <w:t xml:space="preserve">AI-first code review:</w:t>
      </w:r>
      <w:r>
        <w:rPr>
          <w:rFonts w:ascii="Arial" w:cs="Arial" w:eastAsia="Arial" w:hAnsi="Arial"/>
          <w:color w:val="1F2937"/>
          <w:sz w:val="22"/>
          <w:szCs w:val="22"/>
        </w:rPr>
        <w:t xml:space="preserve"> Senior engineers need to know the failure modes of AI-generated code — plausible-looking logic that is wrong, missing edge cases, over-confident test coverage. Review practices need to account for this.</w:t>
      </w:r>
    </w:p>
    <w:p>
      <w:pPr>
        <w:pStyle w:val="ListParagraph"/>
        <w:numPr>
          <w:ilvl w:val="0"/>
          <w:numId w:val="2"/>
        </w:numPr>
        <w:spacing w:after="60" w:before="60"/>
      </w:pPr>
      <w:r>
        <w:rPr>
          <w:rFonts w:ascii="Arial" w:cs="Arial" w:eastAsia="Arial" w:hAnsi="Arial"/>
          <w:b/>
          <w:bCs/>
          <w:color w:val="1F2937"/>
          <w:sz w:val="22"/>
          <w:szCs w:val="22"/>
        </w:rPr>
        <w:t xml:space="preserve">POC velocity process:</w:t>
      </w:r>
      <w:r>
        <w:rPr>
          <w:rFonts w:ascii="Arial" w:cs="Arial" w:eastAsia="Arial" w:hAnsi="Arial"/>
          <w:color w:val="1F2937"/>
          <w:sz w:val="22"/>
          <w:szCs w:val="22"/>
        </w:rPr>
        <w:t xml:space="preserve"> A clear definition of what ‘done’ means for a proof of concept, so AI tools help us validate ideas quickly without creating a pathway from prototype quality into production.</w:t>
      </w:r>
    </w:p>
    <w:p>
      <w:pPr>
        <w:pStyle w:val="ListParagraph"/>
        <w:numPr>
          <w:ilvl w:val="0"/>
          <w:numId w:val="2"/>
        </w:numPr>
        <w:spacing w:after="60" w:before="60"/>
      </w:pPr>
      <w:r>
        <w:rPr>
          <w:rFonts w:ascii="Arial" w:cs="Arial" w:eastAsia="Arial" w:hAnsi="Arial"/>
          <w:b/>
          <w:bCs/>
          <w:color w:val="1F2937"/>
          <w:sz w:val="22"/>
          <w:szCs w:val="22"/>
        </w:rPr>
        <w:t xml:space="preserve">Native semantic IP pipeline:</w:t>
      </w:r>
      <w:r>
        <w:rPr>
          <w:rFonts w:ascii="Arial" w:cs="Arial" w:eastAsia="Arial" w:hAnsi="Arial"/>
          <w:color w:val="1F2937"/>
          <w:sz w:val="22"/>
          <w:szCs w:val="22"/>
        </w:rPr>
        <w:t xml:space="preserve"> AI-assisted analysis of usage telemetry from the semantic layer partner integration, working alongside a data scientist, to progressively build and refine Revelate’s own semantic model.</w:t>
      </w:r>
    </w:p>
    <w:p>
      <w:pPr>
        <w:pStyle w:val="Heading2"/>
      </w:pPr>
      <w:r>
        <w:rPr>
          <w:rFonts w:ascii="Arial" w:cs="Arial" w:eastAsia="Arial" w:hAnsi="Arial"/>
        </w:rPr>
        <w:t xml:space="preserve">6.2  The Engineering Culture Story</w:t>
      </w:r>
    </w:p>
    <w:p>
      <w:pPr>
        <w:spacing w:after="180" w:before="80"/>
      </w:pPr>
      <w:r>
        <w:rPr>
          <w:rFonts w:ascii="Arial" w:cs="Arial" w:eastAsia="Arial" w:hAnsi="Arial"/>
          <w:color w:val="1F2937"/>
          <w:sz w:val="22"/>
          <w:szCs w:val="22"/>
        </w:rPr>
        <w:t xml:space="preserve">An AI-native engineering organisation is also a talent and investor story. Headcount efficiency that looks different from comparable-stage companies — because we are genuinely building differently — becomes a narrative about how Revelate compounds its advantage as AI tooling improves. It is also a recruiting signal for engineers who want to work at the frontier of how software gets built.</w:t>
      </w:r>
    </w:p>
    <w:p>
      <w:pPr>
        <w:spacing w:after="180" w:before="80"/>
      </w:pPr>
      <w:r>
        <w:rPr>
          <w:rFonts w:ascii="Arial" w:cs="Arial" w:eastAsia="Arial" w:hAnsi="Arial"/>
          <w:color w:val="1F2937"/>
          <w:sz w:val="22"/>
          <w:szCs w:val="22"/>
        </w:rPr>
        <w:t xml:space="preserve">I would also invest in building a culture of measurable ambition: not vanity ambition, but the kind where every engineer understands how their work connects to the company’s three-year value thesis, and where that connection makes the work feel consequential. That culture is what retains strong engineers as the company grows.</w:t>
      </w:r>
    </w:p>
    <w:p>
      <w:r>
        <w:br w:type="page"/>
      </w:r>
    </w:p>
    <w:p>
      <w:pPr>
        <w:pStyle w:val="Heading1"/>
      </w:pPr>
      <w:r>
        <w:rPr>
          <w:rFonts w:ascii="Arial" w:cs="Arial" w:eastAsia="Arial" w:hAnsi="Arial"/>
        </w:rPr>
        <w:t xml:space="preserve">Section 7: The Value Creation Thesis</w:t>
      </w:r>
    </w:p>
    <w:p>
      <w:pPr>
        <w:spacing w:after="180" w:before="80"/>
      </w:pPr>
      <w:r>
        <w:rPr>
          <w:rFonts w:ascii="Arial" w:cs="Arial" w:eastAsia="Arial" w:hAnsi="Arial"/>
          <w:color w:val="1F2937"/>
          <w:sz w:val="22"/>
          <w:szCs w:val="22"/>
        </w:rPr>
        <w:t xml:space="preserve">The strategic goal is to position Revelate for either a compelling acquisition or a fully self-determined strategic future — both of which require the company to reach approximately $200M in enterprise value within three years. Here is the thesis for how that happens and what must be true for it to hold.</w:t>
      </w:r>
    </w:p>
    <w:p>
      <w:pPr>
        <w:pStyle w:val="Heading2"/>
      </w:pPr>
      <w:r>
        <w:rPr>
          <w:rFonts w:ascii="Arial" w:cs="Arial" w:eastAsia="Arial" w:hAnsi="Arial"/>
        </w:rPr>
        <w:t xml:space="preserve">7.1  The Revenue Path</w:t>
      </w:r>
    </w:p>
    <w:p>
      <w:pPr>
        <w:spacing w:after="180" w:before="80"/>
      </w:pPr>
      <w:r>
        <w:rPr>
          <w:rFonts w:ascii="Arial" w:cs="Arial" w:eastAsia="Arial" w:hAnsi="Arial"/>
          <w:color w:val="1F2937"/>
          <w:sz w:val="22"/>
          <w:szCs w:val="22"/>
        </w:rPr>
        <w:t xml:space="preserve">At an estimated ~$3M ARR today, reaching roughly $200M in enterprise value within three years implies a central case of about $25M ARR — bracketed by a $20–30M band depending on the revenue multiple the market assigns. At 7–8x (typical for growing SaaS) the target sits nearer the top of that range; with clearly demonstrated marketplace network effects and AI-native differentiation, a higher multiple reaches the same valuation at lower ARR. The three scenarios below bracket that single central case rather than describing three different destinations:</w:t>
      </w:r>
    </w:p>
    <w:p>
      <w:pPr>
        <w:spacing w:after="180" w:before="80"/>
      </w:pPr>
      <w:r>
        <w:rPr>
          <w:rFonts w:ascii="Arial" w:cs="Arial" w:eastAsia="Arial" w:hAnsi="Arial"/>
          <w:color w:val="1F2937"/>
          <w:sz w:val="22"/>
          <w:szCs w:val="22"/>
        </w:rPr>
        <w:t xml:space="preserve">One sequencing point matters. The AI product layers reach general availability only in Phase 3 (months 12–24), so they cannot carry the early part of this ramp. The first half of the growth must come from sharper GTM execution on the existing governed platform — vertical focus, a tighter ICP, and the land-and-expand pricing model — with the AI layers compounding ACV and expanding the buyer universe in years two and three. The roadmap and the revenue curve are designed to hand off to each other, not to depend on AI general availability arriving early.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F2937"/>
                <w:sz w:val="21"/>
                <w:szCs w:val="21"/>
              </w:rPr>
              <w:t xml:space="preserve">$3M → $30M ARR</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F2937"/>
                <w:sz w:val="21"/>
                <w:szCs w:val="21"/>
              </w:rPr>
              <w:t xml:space="preserve">Requires approximately 115% compound annual growth over three years. Achievable with improved GTM execution, the AI-driven expansion of the ICP, and concentrated financial services reference customers.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F2937"/>
                <w:sz w:val="21"/>
                <w:szCs w:val="21"/>
              </w:rPr>
              <w:t xml:space="preserve">Multiple expansion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F2937"/>
                <w:sz w:val="21"/>
                <w:szCs w:val="21"/>
              </w:rPr>
              <w:t xml:space="preserve">A platform with genuine marketplace network effects and AI-native differentiation commands 10–15x revenue multiples. At $20M ARR with strong growth trajectory, that reaches $200–300M valuation.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F2937"/>
                <w:sz w:val="21"/>
                <w:szCs w:val="21"/>
              </w:rPr>
              <w:t xml:space="preserve">Combined path (most likely)</w:t>
            </w:r>
          </w:p>
        </w:tc>
        <w:tc>
          <w:tcPr>
            <w:tcW w:type="dxa" w:w="6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F2937"/>
                <w:sz w:val="21"/>
                <w:szCs w:val="21"/>
              </w:rPr>
              <w:t xml:space="preserve">$20–25M ARR with strong growth momentum and demonstrable marketplace dynamics, valued at 8–12x. This is the realistic $200M scenario within the three-year window.</w:t>
            </w:r>
          </w:p>
        </w:tc>
      </w:tr>
    </w:tbl>
    <w:p>
      <w:pPr>
        <w:spacing w:after="0" w:before="200"/>
      </w:pPr>
      <w:r>
        <w:t xml:space="preserve"/>
      </w:r>
    </w:p>
    <w:p>
      <w:pPr>
        <w:pStyle w:val="Heading2"/>
      </w:pPr>
      <w:r>
        <w:rPr>
          <w:rFonts w:ascii="Arial" w:cs="Arial" w:eastAsia="Arial" w:hAnsi="Arial"/>
        </w:rPr>
        <w:t xml:space="preserve">7.2  What Must Be True</w:t>
      </w:r>
    </w:p>
    <w:p>
      <w:pPr>
        <w:spacing w:after="180" w:before="80"/>
      </w:pPr>
      <w:r>
        <w:rPr>
          <w:rFonts w:ascii="Arial" w:cs="Arial" w:eastAsia="Arial" w:hAnsi="Arial"/>
          <w:color w:val="1F2937"/>
          <w:sz w:val="22"/>
          <w:szCs w:val="22"/>
        </w:rPr>
        <w:t xml:space="preserve">For this thesis to hold, the following must be demonstrated over the three-year period:</w:t>
      </w:r>
    </w:p>
    <w:p>
      <w:pPr>
        <w:pStyle w:val="ListParagraph"/>
        <w:numPr>
          <w:ilvl w:val="0"/>
          <w:numId w:val="2"/>
        </w:numPr>
        <w:spacing w:after="60" w:before="60"/>
      </w:pPr>
      <w:r>
        <w:rPr>
          <w:rFonts w:ascii="Arial" w:cs="Arial" w:eastAsia="Arial" w:hAnsi="Arial"/>
          <w:color w:val="1F2937"/>
          <w:sz w:val="22"/>
          <w:szCs w:val="22"/>
        </w:rPr>
        <w:t xml:space="preserve">GTM execution improves materially — the current constraint is resolved through focused vertical strategy, sharper ICP definition, and a pricing model that enables sustainable land-and-expand</w:t>
      </w:r>
    </w:p>
    <w:p>
      <w:pPr>
        <w:pStyle w:val="ListParagraph"/>
        <w:numPr>
          <w:ilvl w:val="0"/>
          <w:numId w:val="2"/>
        </w:numPr>
        <w:spacing w:after="60" w:before="60"/>
      </w:pPr>
      <w:r>
        <w:rPr>
          <w:rFonts w:ascii="Arial" w:cs="Arial" w:eastAsia="Arial" w:hAnsi="Arial"/>
          <w:color w:val="1F2937"/>
          <w:sz w:val="22"/>
          <w:szCs w:val="22"/>
        </w:rPr>
        <w:t xml:space="preserve">The AI product layers create genuine incremental revenue — not just product differentiation, but higher ACV per customer and an expanded buyer universe</w:t>
      </w:r>
    </w:p>
    <w:p>
      <w:pPr>
        <w:pStyle w:val="ListParagraph"/>
        <w:numPr>
          <w:ilvl w:val="0"/>
          <w:numId w:val="2"/>
        </w:numPr>
        <w:spacing w:after="60" w:before="60"/>
      </w:pPr>
      <w:r>
        <w:rPr>
          <w:rFonts w:ascii="Arial" w:cs="Arial" w:eastAsia="Arial" w:hAnsi="Arial"/>
          <w:color w:val="1F2937"/>
          <w:sz w:val="22"/>
          <w:szCs w:val="22"/>
        </w:rPr>
        <w:t xml:space="preserve">Marketplace dynamics begin to emerge — data providers and consumers create pull on each other, reducing the marginal cost of acquiring new supply and demand</w:t>
      </w:r>
    </w:p>
    <w:p>
      <w:pPr>
        <w:pStyle w:val="ListParagraph"/>
        <w:numPr>
          <w:ilvl w:val="0"/>
          <w:numId w:val="2"/>
        </w:numPr>
        <w:spacing w:after="60" w:before="60"/>
      </w:pPr>
      <w:r>
        <w:rPr>
          <w:rFonts w:ascii="Arial" w:cs="Arial" w:eastAsia="Arial" w:hAnsi="Arial"/>
          <w:color w:val="1F2937"/>
          <w:sz w:val="22"/>
          <w:szCs w:val="22"/>
        </w:rPr>
        <w:t xml:space="preserve">Financial services produces three to five flagship enterprise reference customers — the social proof that accelerates mid-market sales velocity</w:t>
      </w:r>
    </w:p>
    <w:p>
      <w:pPr>
        <w:pStyle w:val="ListParagraph"/>
        <w:numPr>
          <w:ilvl w:val="0"/>
          <w:numId w:val="2"/>
        </w:numPr>
        <w:spacing w:after="60" w:before="60"/>
      </w:pPr>
      <w:r>
        <w:rPr>
          <w:rFonts w:ascii="Arial" w:cs="Arial" w:eastAsia="Arial" w:hAnsi="Arial"/>
          <w:color w:val="1F2937"/>
          <w:sz w:val="22"/>
          <w:szCs w:val="22"/>
        </w:rPr>
        <w:t xml:space="preserve">The engineering culture shift delivers velocity — the AI roadmap is executed with a lean team because the team is genuinely building differently</w:t>
      </w:r>
    </w:p>
    <w:p>
      <w:pPr>
        <w:pStyle w:val="Heading2"/>
      </w:pPr>
      <w:r>
        <w:rPr>
          <w:rFonts w:ascii="Arial" w:cs="Arial" w:eastAsia="Arial" w:hAnsi="Arial"/>
        </w:rPr>
        <w:t xml:space="preserve">7.3  Strategic Optionality</w:t>
      </w:r>
    </w:p>
    <w:p>
      <w:pPr>
        <w:spacing w:after="180" w:before="80"/>
      </w:pPr>
      <w:r>
        <w:rPr>
          <w:rFonts w:ascii="Arial" w:cs="Arial" w:eastAsia="Arial" w:hAnsi="Arial"/>
          <w:color w:val="1F2937"/>
          <w:sz w:val="22"/>
          <w:szCs w:val="22"/>
        </w:rPr>
        <w:t xml:space="preserve">Reaching $200M enterprise value is not primarily an exit objective — it is a leverage objective. A company at that valuation has choices: it can be acquired on favourable terms, raise growth capital from a position of strength, or continue building toward a larger outcome entirely. The strategy proposed in this document is designed to create maximum optionality for the leadership team and investors by the end of year three.</w:t>
      </w:r>
    </w:p>
    <w:p>
      <w:r>
        <w:br w:type="page"/>
      </w:r>
    </w:p>
    <w:p>
      <w:pPr>
        <w:pStyle w:val="Heading1"/>
      </w:pPr>
      <w:r>
        <w:rPr>
          <w:rFonts w:ascii="Arial" w:cs="Arial" w:eastAsia="Arial" w:hAnsi="Arial"/>
        </w:rPr>
        <w:t xml:space="preserve">Section 8: Risks and What Could Break the Thesis</w:t>
      </w:r>
    </w:p>
    <w:p>
      <w:pPr>
        <w:spacing w:after="180" w:before="80"/>
      </w:pPr>
      <w:r>
        <w:rPr>
          <w:rFonts w:ascii="Arial" w:cs="Arial" w:eastAsia="Arial" w:hAnsi="Arial"/>
          <w:color w:val="1F2937"/>
          <w:sz w:val="22"/>
          <w:szCs w:val="22"/>
        </w:rPr>
        <w:t xml:space="preserve">Every section above is a hypothesis; this one names the ways the hypothesis could be wrong. A strategy that lists only its success conditions is marketing. Each risk below has a deliberate mitigation already built into the approach — and the discovery phase in Section 1 is partly designed to test exactly these assumptions before significant capital is committed against them.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009A5C" w:sz="1"/>
              <w:left w:val="single" w:color="009A5C" w:sz="1"/>
              <w:bottom w:val="single" w:color="009A5C" w:sz="1"/>
              <w:right w:val="single" w:color="009A5C" w:sz="1"/>
            </w:tcBorders>
            <w:shd w:fill="009A5C" w:val="clear"/>
            <w:tcMar>
              <w:top w:type="dxa" w:w="100"/>
              <w:left w:type="dxa" w:w="140"/>
              <w:bottom w:type="dxa" w:w="100"/>
              <w:right w:type="dxa" w:w="140"/>
            </w:tcMar>
          </w:tcPr>
          <w:p>
            <w:r>
              <w:rPr>
                <w:rFonts w:ascii="Arial" w:cs="Arial" w:eastAsia="Arial" w:hAnsi="Arial"/>
                <w:b/>
                <w:bCs/>
                <w:color w:val="FFFFFF"/>
                <w:sz w:val="21"/>
                <w:szCs w:val="21"/>
              </w:rPr>
              <w:t xml:space="preserve">Risk</w:t>
            </w:r>
          </w:p>
        </w:tc>
        <w:tc>
          <w:tcPr>
            <w:tcW w:type="dxa" w:w="6460"/>
            <w:tcBorders>
              <w:top w:val="single" w:color="009A5C" w:sz="1"/>
              <w:left w:val="single" w:color="009A5C" w:sz="1"/>
              <w:bottom w:val="single" w:color="009A5C" w:sz="1"/>
              <w:right w:val="single" w:color="009A5C" w:sz="1"/>
            </w:tcBorders>
            <w:shd w:fill="009A5C" w:val="clear"/>
            <w:tcMar>
              <w:top w:type="dxa" w:w="100"/>
              <w:left w:type="dxa" w:w="140"/>
              <w:bottom w:type="dxa" w:w="100"/>
              <w:right w:type="dxa" w:w="140"/>
            </w:tcMar>
          </w:tcPr>
          <w:p>
            <w:r>
              <w:rPr>
                <w:rFonts w:ascii="Arial" w:cs="Arial" w:eastAsia="Arial" w:hAnsi="Arial"/>
                <w:b/>
                <w:bCs/>
                <w:color w:val="FFFFFF"/>
                <w:sz w:val="21"/>
                <w:szCs w:val="21"/>
              </w:rPr>
              <w:t xml:space="preserve">How I would mitigate it</w:t>
            </w:r>
          </w:p>
        </w:tc>
      </w:tr>
      <w:tr>
        <w:tc>
          <w:tcPr>
            <w:tcW w:type="dxa" w:w="2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F2937"/>
                <w:sz w:val="21"/>
                <w:szCs w:val="21"/>
              </w:rPr>
              <w:t xml:space="preserve">Cloud platforms own the AI layer</w:t>
            </w:r>
          </w:p>
        </w:tc>
        <w:tc>
          <w:tcPr>
            <w:tcW w:type="dxa" w:w="64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1"/>
                <w:szCs w:val="21"/>
              </w:rPr>
              <w:t xml:space="preserve">Snowflake Cortex and Databricks Genie / Unity Catalog target the same semantic and interrogation layer. Mitigation: compete on the one axis they structurally will not — neutral, cross-provider, multi-tenant governance. Partner-first integration with their AI where it is strong; own the cross-platform trust layer beneath it (see Section 2.4).</w:t>
            </w:r>
          </w:p>
        </w:tc>
      </w:tr>
      <w:tr>
        <w:tc>
          <w:tcPr>
            <w:tcW w:type="dxa" w:w="2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F2937"/>
                <w:sz w:val="21"/>
                <w:szCs w:val="21"/>
              </w:rPr>
              <w:t xml:space="preserve">MCP does not become the standard</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1"/>
                <w:szCs w:val="21"/>
              </w:rPr>
              <w:t xml:space="preserve">The protocol bet could shift as the ecosystem evolves. Mitigation: keep MCP a thin adapter over a protocol-agnostic core. The durable value is the governed catalogue and RBAC enforcement underneath, not the wire format — swapping protocols is an adapter change, not a rebuild.</w:t>
            </w:r>
          </w:p>
        </w:tc>
      </w:tr>
      <w:tr>
        <w:tc>
          <w:tcPr>
            <w:tcW w:type="dxa" w:w="2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F2937"/>
                <w:sz w:val="21"/>
                <w:szCs w:val="21"/>
              </w:rPr>
              <w:t xml:space="preserve">Enterprises won’t route data through an AI layer</w:t>
            </w:r>
          </w:p>
        </w:tc>
        <w:tc>
          <w:tcPr>
            <w:tcW w:type="dxa" w:w="64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1"/>
                <w:szCs w:val="21"/>
              </w:rPr>
              <w:t xml:space="preserve">Financial-services and healthcare buyers will not send proprietary data through third-party LLM APIs they do not control. Mitigation: model flexibility designed in from day one — Revelate-hosted, customer-VPC, and bring-your-own-key configurations. This is a precondition for the wedge vertical, not a later feature.</w:t>
            </w:r>
          </w:p>
        </w:tc>
      </w:tr>
      <w:tr>
        <w:tc>
          <w:tcPr>
            <w:tcW w:type="dxa" w:w="2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F2937"/>
                <w:sz w:val="21"/>
                <w:szCs w:val="21"/>
              </w:rPr>
              <w:t xml:space="preserve">The semantic-IP flywheel is a key-person dependency</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1"/>
                <w:szCs w:val="21"/>
              </w:rPr>
              <w:t xml:space="preserve">The proprietary semantic model leans on a single data scientist and on telemetry rights. Mitigation: partner-first delivery (Cube.dev / dbt) generates value before any native IP exists; secure anonymised-telemetry rights in every partnership; productise the analysis pipeline so the IP compounds from the installed base, not one individual.</w:t>
            </w:r>
          </w:p>
        </w:tc>
      </w:tr>
      <w:tr>
        <w:tc>
          <w:tcPr>
            <w:tcW w:type="dxa" w:w="2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bCs/>
                <w:color w:val="1F2937"/>
                <w:sz w:val="21"/>
                <w:szCs w:val="21"/>
              </w:rPr>
              <w:t xml:space="preserve">GTM execution — the known constraint — does not improve</w:t>
            </w:r>
          </w:p>
        </w:tc>
        <w:tc>
          <w:tcPr>
            <w:tcW w:type="dxa" w:w="64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1"/>
                <w:szCs w:val="21"/>
              </w:rPr>
              <w:t xml:space="preserve">GTM is today’s limiter, and the whole thesis assumes it gets materially better. Mitigation: concentrate rather than broaden — financial-services wedge, sharper ICP, and land-and-expand pricing that makes expansion a consequence of usage. Earn three to five flagship references before scaling the motion.</w:t>
            </w:r>
          </w:p>
        </w:tc>
      </w:tr>
      <w:tr>
        <w:tc>
          <w:tcPr>
            <w:tcW w:type="dxa" w:w="2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F2937"/>
                <w:sz w:val="21"/>
                <w:szCs w:val="21"/>
              </w:rPr>
              <w:t xml:space="preserve">The lean team cannot deliver the roadmap</w:t>
            </w:r>
          </w:p>
        </w:tc>
        <w:tc>
          <w:tcPr>
            <w:tcW w:type="dxa" w:w="6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1"/>
                <w:szCs w:val="21"/>
              </w:rPr>
              <w:t xml:space="preserve">An eight-person team against an ambitious AI roadmap is a real capacity risk. Mitigation: AI-native engineering practice, ruthless phasing (Phase 1 validates before it builds), and partner-first on the semantic layer so scarce capacity is not spent on undifferentiated infrastructure. The velocity gain is a target to earn, not an assumption.</w:t>
            </w:r>
          </w:p>
        </w:tc>
      </w:tr>
    </w:tbl>
    <w:p>
      <w:pPr>
        <w:spacing w:after="180" w:before="200"/>
      </w:pPr>
      <w:r>
        <w:rPr>
          <w:rFonts w:ascii="Arial" w:cs="Arial" w:eastAsia="Arial" w:hAnsi="Arial"/>
          <w:color w:val="1F2937"/>
          <w:sz w:val="22"/>
          <w:szCs w:val="22"/>
        </w:rPr>
        <w:t xml:space="preserve">None of these risks is disqualifying, but each is real. A leadership team should weigh this strategy against them — and against their own knowledge of the business — rather than against the most optimistic case. That, ultimately, is what the discovery phase is for.</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09A5C" w:sz="18"/>
              <w:bottom w:val="single" w:color="D1D5DB" w:sz="1"/>
              <w:right w:val="single" w:color="D1D5DB" w:sz="1"/>
            </w:tcBorders>
            <w:shd w:fill="ECFDF5" w:val="clear"/>
            <w:tcMar>
              <w:top w:type="dxa" w:w="120"/>
              <w:left w:type="dxa" w:w="200"/>
              <w:bottom w:type="dxa" w:w="120"/>
              <w:right w:type="dxa" w:w="200"/>
            </w:tcMar>
          </w:tcPr>
          <w:p>
            <w:pPr>
              <w:spacing w:after="80" w:before="0"/>
            </w:pPr>
            <w:r>
              <w:rPr>
                <w:rFonts w:ascii="Arial" w:cs="Arial" w:eastAsia="Arial" w:hAnsi="Arial"/>
                <w:b/>
                <w:bCs/>
                <w:color w:val="009A5C"/>
                <w:sz w:val="22"/>
                <w:szCs w:val="22"/>
              </w:rPr>
              <w:t xml:space="preserve">A Final Note</w:t>
            </w:r>
          </w:p>
          <w:p>
            <w:pPr>
              <w:spacing w:after="40" w:before="40"/>
            </w:pPr>
            <w:r>
              <w:rPr>
                <w:rFonts w:ascii="Arial" w:cs="Arial" w:eastAsia="Arial" w:hAnsi="Arial"/>
                <w:color w:val="1F2937"/>
                <w:sz w:val="20"/>
                <w:szCs w:val="20"/>
              </w:rPr>
              <w:t xml:space="preserve">This document is the beginning of a conversation, not the conclusion of one.</w:t>
            </w:r>
          </w:p>
          <w:p>
            <w:pPr>
              <w:spacing w:after="40" w:before="40"/>
            </w:pPr>
            <w:r>
              <w:rPr>
                <w:rFonts w:ascii="Arial" w:cs="Arial" w:eastAsia="Arial" w:hAnsi="Arial"/>
                <w:color w:val="1F2937"/>
                <w:sz w:val="20"/>
                <w:szCs w:val="20"/>
              </w:rPr>
              <w:t xml:space="preserve">The real strategy gets written after the discovery work in Section 1 is complete —</w:t>
            </w:r>
          </w:p>
          <w:p>
            <w:pPr>
              <w:spacing w:after="40" w:before="40"/>
            </w:pPr>
            <w:r>
              <w:rPr>
                <w:rFonts w:ascii="Arial" w:cs="Arial" w:eastAsia="Arial" w:hAnsi="Arial"/>
                <w:color w:val="1F2937"/>
                <w:sz w:val="20"/>
                <w:szCs w:val="20"/>
              </w:rPr>
              <w:t xml:space="preserve">after leadership has tested these hypotheses against their own knowledge of the business,</w:t>
            </w:r>
          </w:p>
          <w:p>
            <w:pPr>
              <w:spacing w:after="40" w:before="40"/>
            </w:pPr>
            <w:r>
              <w:rPr>
                <w:rFonts w:ascii="Arial" w:cs="Arial" w:eastAsia="Arial" w:hAnsi="Arial"/>
                <w:color w:val="1F2937"/>
                <w:sz w:val="20"/>
                <w:szCs w:val="20"/>
              </w:rPr>
              <w:t xml:space="preserve">and after the team has had the chance to push back on what I have gotten wrong.</w:t>
            </w:r>
          </w:p>
          <w:p>
            <w:pPr>
              <w:spacing w:after="40" w:before="40"/>
            </w:pPr>
            <w:r>
              <w:rPr>
                <w:rFonts w:ascii="Arial" w:cs="Arial" w:eastAsia="Arial" w:hAnsi="Arial"/>
                <w:color w:val="1F2937"/>
                <w:sz w:val="20"/>
                <w:szCs w:val="20"/>
              </w:rPr>
              <w:t xml:space="preserve">I am confident in the direction. I am appropriately humble about the details.</w:t>
            </w:r>
          </w:p>
        </w:tc>
      </w:tr>
    </w:tbl>
    <w:p>
      <w:pPr>
        <w:spacing w:after="0" w:before="200"/>
      </w:pPr>
      <w:r>
        <w:t xml:space="preserve"/>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A5C" w:sz="4"/>
      </w:pBdr>
      <w:spacing w:before="80"/>
      <w:jc w:val="center"/>
    </w:pPr>
    <w:r>
      <w:rPr>
        <w:rFonts w:ascii="Arial" w:cs="Arial" w:eastAsia="Arial" w:hAnsi="Arial"/>
        <w:color w:val="6B7280"/>
        <w:sz w:val="18"/>
        <w:szCs w:val="18"/>
      </w:rPr>
      <w:t xml:space="preserve">DRAFT — For Discussion Purposes Only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A5C" w:sz="4"/>
      </w:pBdr>
      <w:spacing w:after="0"/>
      <w:jc w:val="right"/>
    </w:pPr>
    <w:r>
      <w:rPr>
        <w:rFonts w:ascii="Arial" w:cs="Arial" w:eastAsia="Arial" w:hAnsi="Arial"/>
        <w:color w:val="6B7280"/>
        <w:sz w:val="18"/>
        <w:szCs w:val="18"/>
      </w:rPr>
      <w:t xml:space="preserve">Strategic Concept Proposal  —  Revelate.co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9A5C" w:sz="6" w:space="4"/>
      </w:pBdr>
      <w:spacing w:after="120" w:before="560"/>
      <w:outlineLvl w:val="0"/>
    </w:pPr>
    <w:rPr>
      <w:rFonts w:ascii="Arial" w:cs="Arial" w:eastAsia="Arial" w:hAnsi="Arial"/>
      <w:b/>
      <w:bCs/>
      <w:color w:val="1F2937"/>
      <w:sz w:val="34"/>
      <w:szCs w:val="34"/>
    </w:rPr>
  </w:style>
  <w:style w:type="paragraph" w:styleId="Heading2">
    <w:name w:val="Heading 2"/>
    <w:basedOn w:val="Normal"/>
    <w:next w:val="Normal"/>
    <w:qFormat/>
    <w:pPr>
      <w:spacing w:after="100" w:before="360"/>
      <w:outlineLvl w:val="1"/>
    </w:pPr>
    <w:rPr>
      <w:rFonts w:ascii="Arial" w:cs="Arial" w:eastAsia="Arial" w:hAnsi="Arial"/>
      <w:b/>
      <w:bCs/>
      <w:color w:val="009A5C"/>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2026-06-19T13:41:26.709Z</dcterms:created>
  <dcterms:modified xsi:type="dcterms:W3CDTF">2026-06-19T13:41:26.709Z</dcterms:modified>
</cp:coreProperties>
</file>

<file path=docProps/custom.xml><?xml version="1.0" encoding="utf-8"?>
<Properties xmlns="http://schemas.openxmlformats.org/officeDocument/2006/custom-properties" xmlns:vt="http://schemas.openxmlformats.org/officeDocument/2006/docPropsVTypes"/>
</file>