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Three conclusions that we can draw about the crowdfunding campaigns are.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1)Based on the parent and subcategory, theater and play were the most successful in pledges and reaching their goal.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2)Based on the data provided 57% of American campaign pledges were successful so we can conclude that there is a 50/50 chance that Americans may or may not donate.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3)We can conclude that based on the dates of the campaigns most are successful in reaching their pledge goal during the summer between the months of June and July.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Limitations of the Data sheets.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1)A limitation is that the data provided is over the course of a decade so some data can be considered dated and out of trend based on the modern age.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Majority of the campaigns took place in America (700 out of 1000) which can be considered a limitation in whether or not the campaigns are successful globally, because the majority of the campaigns took place in the United States.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The campaigns were based predominantly on technology and arts which can be considered a limitation globally because each country individually may value these categories at a different standard.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Some Graphs that we could create that would add additional data are. 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bar graph showing the average donation.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One column that I would have included was the lengths of the event to show how the length of the campaign correlates to the outcome of the campaign.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