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41987" w14:textId="77777777" w:rsidR="004452C2" w:rsidRDefault="004452C2" w:rsidP="004452C2">
      <w:pPr>
        <w:spacing w:line="480" w:lineRule="auto"/>
        <w:rPr>
          <w:rFonts w:ascii="Arial" w:hAnsi="Arial" w:cs="Arial"/>
          <w:b/>
          <w:bCs/>
          <w:color w:val="000000" w:themeColor="text1"/>
        </w:rPr>
      </w:pPr>
    </w:p>
    <w:p w14:paraId="335F772E" w14:textId="77777777" w:rsidR="0040290E" w:rsidRPr="00F1631E" w:rsidRDefault="0040290E" w:rsidP="0040290E">
      <w:pPr>
        <w:rPr>
          <w:rFonts w:ascii="Arial" w:hAnsi="Arial" w:cs="Arial"/>
          <w:sz w:val="32"/>
          <w:szCs w:val="32"/>
        </w:rPr>
      </w:pPr>
      <w:r>
        <w:rPr>
          <w:rFonts w:ascii="Arial" w:hAnsi="Arial" w:cs="Arial"/>
          <w:sz w:val="32"/>
          <w:szCs w:val="32"/>
        </w:rPr>
        <w:t>Decomposition potential and population structure among active microbial communities in deep salt marsh sediments</w:t>
      </w:r>
    </w:p>
    <w:p w14:paraId="0940D3E8" w14:textId="77777777" w:rsidR="004452C2" w:rsidRDefault="004452C2" w:rsidP="004452C2">
      <w:pPr>
        <w:rPr>
          <w:rFonts w:ascii="Arial" w:hAnsi="Arial" w:cs="Arial"/>
        </w:rPr>
      </w:pPr>
    </w:p>
    <w:p w14:paraId="1F8B97B8" w14:textId="281B4564" w:rsidR="00266D8D" w:rsidRDefault="00266D8D" w:rsidP="00266D8D">
      <w:pPr>
        <w:rPr>
          <w:rFonts w:ascii="Arial" w:hAnsi="Arial" w:cs="Arial"/>
          <w:vertAlign w:val="superscript"/>
        </w:rPr>
      </w:pPr>
      <w:r w:rsidRPr="00463D7C">
        <w:rPr>
          <w:rFonts w:ascii="Arial" w:hAnsi="Arial" w:cs="Arial"/>
        </w:rPr>
        <w:t>Joseph H. Vineis</w:t>
      </w:r>
      <w:r w:rsidRPr="00642025">
        <w:rPr>
          <w:rFonts w:ascii="Arial" w:hAnsi="Arial" w:cs="Arial"/>
          <w:vertAlign w:val="superscript"/>
        </w:rPr>
        <w:t>1</w:t>
      </w:r>
      <w:r>
        <w:rPr>
          <w:rFonts w:ascii="Arial" w:hAnsi="Arial" w:cs="Arial"/>
          <w:vertAlign w:val="superscript"/>
        </w:rPr>
        <w:t>,2</w:t>
      </w:r>
      <w:r w:rsidRPr="00463D7C">
        <w:rPr>
          <w:rFonts w:ascii="Arial" w:hAnsi="Arial" w:cs="Arial"/>
        </w:rPr>
        <w:t>, Ashley N. Bulseco</w:t>
      </w:r>
      <w:r>
        <w:rPr>
          <w:rFonts w:ascii="Arial" w:hAnsi="Arial" w:cs="Arial"/>
          <w:vertAlign w:val="superscript"/>
        </w:rPr>
        <w:t>1,3</w:t>
      </w:r>
      <w:r w:rsidRPr="00463D7C">
        <w:rPr>
          <w:rFonts w:ascii="Arial" w:hAnsi="Arial" w:cs="Arial"/>
        </w:rPr>
        <w:t>,</w:t>
      </w:r>
      <w:r w:rsidR="00381BF8" w:rsidRPr="00381BF8">
        <w:rPr>
          <w:rFonts w:ascii="Arial" w:hAnsi="Arial" w:cs="Arial"/>
        </w:rPr>
        <w:t xml:space="preserve"> </w:t>
      </w:r>
      <w:r w:rsidR="00381BF8">
        <w:rPr>
          <w:rFonts w:ascii="Arial" w:hAnsi="Arial" w:cs="Arial"/>
        </w:rPr>
        <w:t>Sa’ad A. A. Rafie</w:t>
      </w:r>
      <w:r w:rsidR="00381BF8" w:rsidRPr="00123A87">
        <w:rPr>
          <w:rFonts w:ascii="Arial" w:hAnsi="Arial" w:cs="Arial"/>
          <w:vertAlign w:val="superscript"/>
        </w:rPr>
        <w:t>1</w:t>
      </w:r>
      <w:r w:rsidR="00381BF8">
        <w:rPr>
          <w:rFonts w:ascii="Arial" w:hAnsi="Arial" w:cs="Arial"/>
        </w:rPr>
        <w:t>,</w:t>
      </w:r>
      <w:r w:rsidRPr="00463D7C">
        <w:rPr>
          <w:rFonts w:ascii="Arial" w:hAnsi="Arial" w:cs="Arial"/>
        </w:rPr>
        <w:t xml:space="preserve"> Zoe </w:t>
      </w:r>
      <w:r>
        <w:rPr>
          <w:rFonts w:ascii="Arial" w:hAnsi="Arial" w:cs="Arial"/>
        </w:rPr>
        <w:t xml:space="preserve">G. </w:t>
      </w:r>
      <w:r w:rsidRPr="00463D7C">
        <w:rPr>
          <w:rFonts w:ascii="Arial" w:hAnsi="Arial" w:cs="Arial"/>
        </w:rPr>
        <w:t>Cardon</w:t>
      </w:r>
      <w:r>
        <w:rPr>
          <w:rFonts w:ascii="Arial" w:hAnsi="Arial" w:cs="Arial"/>
          <w:vertAlign w:val="superscript"/>
        </w:rPr>
        <w:t>2</w:t>
      </w:r>
      <w:r w:rsidRPr="00463D7C">
        <w:rPr>
          <w:rFonts w:ascii="Arial" w:hAnsi="Arial" w:cs="Arial"/>
        </w:rPr>
        <w:t>, and Jennifer L. Bowen</w:t>
      </w:r>
      <w:r>
        <w:rPr>
          <w:rFonts w:ascii="Arial" w:hAnsi="Arial" w:cs="Arial"/>
          <w:vertAlign w:val="superscript"/>
        </w:rPr>
        <w:t>1</w:t>
      </w:r>
    </w:p>
    <w:p w14:paraId="49482A16" w14:textId="77777777" w:rsidR="00266D8D" w:rsidRDefault="00266D8D" w:rsidP="00266D8D">
      <w:pPr>
        <w:rPr>
          <w:rFonts w:ascii="Arial" w:hAnsi="Arial" w:cs="Arial"/>
          <w:vertAlign w:val="superscript"/>
        </w:rPr>
      </w:pPr>
    </w:p>
    <w:p w14:paraId="70836954" w14:textId="77777777" w:rsidR="00266D8D" w:rsidRPr="00584B5E" w:rsidRDefault="00266D8D" w:rsidP="00266D8D">
      <w:pPr>
        <w:rPr>
          <w:rFonts w:ascii="Helvetica" w:hAnsi="Helvetica"/>
        </w:rPr>
      </w:pPr>
      <w:r>
        <w:rPr>
          <w:rFonts w:ascii="Helvetica" w:hAnsi="Helvetica"/>
          <w:vertAlign w:val="superscript"/>
        </w:rPr>
        <w:t>1</w:t>
      </w:r>
      <w:r>
        <w:rPr>
          <w:rFonts w:ascii="Helvetica" w:hAnsi="Helvetica"/>
        </w:rPr>
        <w:t>Marine Science Center, Northeastern University, Nahant, Massachusetts, USA</w:t>
      </w:r>
    </w:p>
    <w:p w14:paraId="7C6CA576" w14:textId="77777777" w:rsidR="00266D8D" w:rsidRDefault="00266D8D" w:rsidP="00266D8D">
      <w:pPr>
        <w:rPr>
          <w:rFonts w:ascii="Helvetica" w:hAnsi="Helvetica"/>
        </w:rPr>
      </w:pPr>
      <w:r>
        <w:rPr>
          <w:rFonts w:ascii="Helvetica" w:hAnsi="Helvetica"/>
          <w:vertAlign w:val="superscript"/>
        </w:rPr>
        <w:t>2</w:t>
      </w:r>
      <w:r w:rsidRPr="000C7ABE">
        <w:rPr>
          <w:rFonts w:ascii="Helvetica" w:hAnsi="Helvetica"/>
        </w:rPr>
        <w:t>The Ecosystems Center, Marine Biological Laboratory, Woods Hole, Massachusetts, USA</w:t>
      </w:r>
    </w:p>
    <w:p w14:paraId="6F1499EC" w14:textId="77777777" w:rsidR="00266D8D" w:rsidRDefault="00266D8D" w:rsidP="00266D8D">
      <w:pPr>
        <w:rPr>
          <w:rFonts w:ascii="Arial" w:hAnsi="Arial" w:cs="Arial"/>
          <w:color w:val="222222"/>
          <w:shd w:val="clear" w:color="auto" w:fill="FFFFFF"/>
        </w:rPr>
      </w:pPr>
      <w:r>
        <w:rPr>
          <w:rFonts w:ascii="Arial" w:hAnsi="Arial" w:cs="Arial"/>
          <w:color w:val="222222"/>
          <w:shd w:val="clear" w:color="auto" w:fill="FFFFFF"/>
          <w:vertAlign w:val="superscript"/>
        </w:rPr>
        <w:t>3</w:t>
      </w:r>
      <w:r>
        <w:rPr>
          <w:rFonts w:ascii="Arial" w:hAnsi="Arial" w:cs="Arial"/>
          <w:color w:val="222222"/>
          <w:shd w:val="clear" w:color="auto" w:fill="FFFFFF"/>
        </w:rPr>
        <w:t>Department of Biological Sciences, University of New Hampshire, Durham, New Hampshire, USA</w:t>
      </w:r>
    </w:p>
    <w:p w14:paraId="06B5E245" w14:textId="77777777" w:rsidR="00D25E8E" w:rsidRDefault="00D25E8E" w:rsidP="00D25E8E">
      <w:pPr>
        <w:rPr>
          <w:rFonts w:ascii="Arial" w:hAnsi="Arial" w:cs="Arial"/>
        </w:rPr>
      </w:pPr>
    </w:p>
    <w:p w14:paraId="0A20291A" w14:textId="77777777" w:rsidR="00D25E8E" w:rsidRDefault="00D25E8E" w:rsidP="00D25E8E">
      <w:pPr>
        <w:rPr>
          <w:rFonts w:ascii="Arial" w:hAnsi="Arial" w:cs="Arial"/>
        </w:rPr>
      </w:pPr>
    </w:p>
    <w:p w14:paraId="0CB13C26" w14:textId="01C26ED9" w:rsidR="001177A9" w:rsidRDefault="00D25E8E" w:rsidP="00D25E8E">
      <w:pPr>
        <w:spacing w:line="480" w:lineRule="auto"/>
        <w:rPr>
          <w:rFonts w:ascii="Arial" w:hAnsi="Arial" w:cs="Arial"/>
          <w:b/>
          <w:bCs/>
          <w:color w:val="000000" w:themeColor="text1"/>
        </w:rPr>
      </w:pPr>
      <w:r>
        <w:rPr>
          <w:rFonts w:ascii="Arial" w:hAnsi="Arial" w:cs="Arial"/>
          <w:b/>
          <w:bCs/>
          <w:color w:val="000000" w:themeColor="text1"/>
        </w:rPr>
        <w:t>Supplemental Figures</w:t>
      </w:r>
    </w:p>
    <w:p w14:paraId="2E32E515" w14:textId="77777777" w:rsidR="00D25E8E" w:rsidRPr="00463D7C" w:rsidRDefault="00D25E8E" w:rsidP="00D25E8E">
      <w:pPr>
        <w:rPr>
          <w:rFonts w:ascii="Arial" w:hAnsi="Arial" w:cs="Arial"/>
        </w:rPr>
      </w:pPr>
    </w:p>
    <w:p w14:paraId="0746FFC5" w14:textId="0391C3D3" w:rsidR="004452C2" w:rsidRDefault="006A520B" w:rsidP="004452C2">
      <w:pPr>
        <w:rPr>
          <w:rFonts w:ascii="Arial" w:hAnsi="Arial" w:cs="Arial"/>
        </w:rPr>
      </w:pPr>
      <w:r>
        <w:rPr>
          <w:rFonts w:ascii="Arial" w:hAnsi="Arial" w:cs="Arial"/>
          <w:noProof/>
          <w14:ligatures w14:val="standardContextual"/>
        </w:rPr>
        <w:drawing>
          <wp:inline distT="0" distB="0" distL="0" distR="0" wp14:anchorId="0A123040" wp14:editId="73978E7B">
            <wp:extent cx="4940710" cy="2039099"/>
            <wp:effectExtent l="0" t="0" r="0" b="5715"/>
            <wp:docPr id="27843802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8020" name="Picture 2" descr="A graph with a lin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63836" cy="2048643"/>
                    </a:xfrm>
                    <a:prstGeom prst="rect">
                      <a:avLst/>
                    </a:prstGeom>
                  </pic:spPr>
                </pic:pic>
              </a:graphicData>
            </a:graphic>
          </wp:inline>
        </w:drawing>
      </w:r>
    </w:p>
    <w:p w14:paraId="52727434" w14:textId="0773B19E" w:rsidR="004452C2" w:rsidRDefault="00D25E8E" w:rsidP="00833DD5">
      <w:pPr>
        <w:rPr>
          <w:rFonts w:ascii="Arial" w:hAnsi="Arial" w:cs="Arial"/>
          <w:color w:val="000000" w:themeColor="text1"/>
        </w:rPr>
      </w:pPr>
      <w:r>
        <w:rPr>
          <w:rFonts w:ascii="Arial" w:hAnsi="Arial" w:cs="Arial"/>
          <w:color w:val="000000" w:themeColor="text1"/>
        </w:rPr>
        <w:t>Figure S1. Cutoff plot used to identify a threshold for significant correlations in the RMT network.</w:t>
      </w:r>
    </w:p>
    <w:p w14:paraId="569F4066" w14:textId="77777777" w:rsidR="00DB2EFA" w:rsidRDefault="00DB2EFA" w:rsidP="00DB2EFA">
      <w:r>
        <w:rPr>
          <w:noProof/>
          <w14:ligatures w14:val="standardContextual"/>
        </w:rPr>
        <w:lastRenderedPageBreak/>
        <w:drawing>
          <wp:inline distT="0" distB="0" distL="0" distR="0" wp14:anchorId="775DB59E" wp14:editId="610D6D8D">
            <wp:extent cx="3289200" cy="7300570"/>
            <wp:effectExtent l="0" t="0" r="635" b="2540"/>
            <wp:docPr id="1559191388" name="Picture 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0100" name="Picture 6" descr="A graph of a graph&#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18549" cy="7365711"/>
                    </a:xfrm>
                    <a:prstGeom prst="rect">
                      <a:avLst/>
                    </a:prstGeom>
                  </pic:spPr>
                </pic:pic>
              </a:graphicData>
            </a:graphic>
          </wp:inline>
        </w:drawing>
      </w:r>
    </w:p>
    <w:p w14:paraId="36766717" w14:textId="5F9A24A8" w:rsidR="00DB2EFA" w:rsidRDefault="00DB2EFA" w:rsidP="00DB2EFA">
      <w:r>
        <w:t xml:space="preserve">Figure S2. </w:t>
      </w:r>
      <w:r w:rsidRPr="00D41697">
        <w:t xml:space="preserve">Percent read </w:t>
      </w:r>
      <w:r w:rsidRPr="00E71D44">
        <w:t xml:space="preserve">recruitment </w:t>
      </w:r>
      <w:r>
        <w:t>t</w:t>
      </w:r>
      <w:r w:rsidRPr="00E71D44">
        <w:t>o the collection</w:t>
      </w:r>
      <w:r w:rsidRPr="00D41697">
        <w:t xml:space="preserve"> of non-redundant MAGs to the total number of available reads for each of the 55 samples. The</w:t>
      </w:r>
      <w:r>
        <w:t xml:space="preserve"> sample name on the x-axis contains the sample core name and the depth of the sample separated by an underscore.</w:t>
      </w:r>
    </w:p>
    <w:p w14:paraId="168B7AD7" w14:textId="77777777" w:rsidR="007A71D9" w:rsidRDefault="007A71D9" w:rsidP="004452C2">
      <w:pPr>
        <w:spacing w:line="480" w:lineRule="auto"/>
        <w:rPr>
          <w:rFonts w:ascii="Arial" w:hAnsi="Arial" w:cs="Arial"/>
          <w:color w:val="000000" w:themeColor="text1"/>
        </w:rPr>
      </w:pPr>
    </w:p>
    <w:p w14:paraId="48635C59" w14:textId="045BD541" w:rsidR="00084305" w:rsidRDefault="005458DF" w:rsidP="009A7614">
      <w:pPr>
        <w:rPr>
          <w:rFonts w:ascii="Arial" w:hAnsi="Arial" w:cs="Arial"/>
          <w:color w:val="000000" w:themeColor="text1"/>
        </w:rPr>
      </w:pPr>
      <w:r>
        <w:rPr>
          <w:rFonts w:ascii="Arial" w:hAnsi="Arial" w:cs="Arial"/>
          <w:noProof/>
          <w:color w:val="000000" w:themeColor="text1"/>
          <w14:ligatures w14:val="standardContextual"/>
        </w:rPr>
        <w:lastRenderedPageBreak/>
        <w:drawing>
          <wp:inline distT="0" distB="0" distL="0" distR="0" wp14:anchorId="5210E32C" wp14:editId="56718158">
            <wp:extent cx="5943600" cy="3278505"/>
            <wp:effectExtent l="0" t="0" r="0" b="0"/>
            <wp:docPr id="1449019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19665" name="Picture 14490196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798855D6" w14:textId="2F2F0D3E" w:rsidR="00730442" w:rsidRPr="00D25E8E" w:rsidRDefault="00730442" w:rsidP="00833DD5">
      <w:pPr>
        <w:rPr>
          <w:rFonts w:ascii="Arial" w:hAnsi="Arial" w:cs="Arial"/>
          <w:color w:val="000000" w:themeColor="text1"/>
        </w:rPr>
      </w:pPr>
      <w:r>
        <w:rPr>
          <w:rFonts w:ascii="Arial" w:hAnsi="Arial" w:cs="Arial"/>
          <w:color w:val="000000" w:themeColor="text1"/>
        </w:rPr>
        <w:t>Figure S</w:t>
      </w:r>
      <w:r w:rsidR="00DB2EFA">
        <w:rPr>
          <w:rFonts w:ascii="Arial" w:hAnsi="Arial" w:cs="Arial"/>
          <w:color w:val="000000" w:themeColor="text1"/>
        </w:rPr>
        <w:t>3</w:t>
      </w:r>
      <w:r>
        <w:rPr>
          <w:rFonts w:ascii="Arial" w:hAnsi="Arial" w:cs="Arial"/>
          <w:color w:val="000000" w:themeColor="text1"/>
        </w:rPr>
        <w:t>.Summary of redundant genome recovery per sample. This line plot at the top of the figure(dark gray and black) shows how many genomes were grouped into the dereplicated genome cluster. The second layer from the top represents the phylum level classification for the representative MAG in the cluster. The heat map layers sho</w:t>
      </w:r>
      <w:r w:rsidR="00833DD5">
        <w:rPr>
          <w:rFonts w:ascii="Arial" w:hAnsi="Arial" w:cs="Arial"/>
          <w:color w:val="000000" w:themeColor="text1"/>
        </w:rPr>
        <w:t>w</w:t>
      </w:r>
      <w:r>
        <w:rPr>
          <w:rFonts w:ascii="Arial" w:hAnsi="Arial" w:cs="Arial"/>
          <w:color w:val="000000" w:themeColor="text1"/>
        </w:rPr>
        <w:t xml:space="preserve"> the proportion of samples where a MAG in the dereplicated genome cluster was recovered. The key indicating how many of the same MAGs (identified by </w:t>
      </w:r>
      <w:proofErr w:type="spellStart"/>
      <w:r>
        <w:rPr>
          <w:rFonts w:ascii="Arial" w:hAnsi="Arial" w:cs="Arial"/>
          <w:color w:val="000000" w:themeColor="text1"/>
        </w:rPr>
        <w:t>dRep</w:t>
      </w:r>
      <w:proofErr w:type="spellEnd"/>
      <w:r>
        <w:rPr>
          <w:rFonts w:ascii="Arial" w:hAnsi="Arial" w:cs="Arial"/>
          <w:color w:val="000000" w:themeColor="text1"/>
        </w:rPr>
        <w:t xml:space="preserve">) were collected per depth is show on the right. The MAGs are organized according to the phylogenetic reconstruction outlined in the methods section. The phylum color key is shown at the bottom of the figure and the gray triangles above the phylum color align with the heatmap. </w:t>
      </w:r>
    </w:p>
    <w:p w14:paraId="17CC17C1" w14:textId="3024730E" w:rsidR="009D204B" w:rsidRDefault="009D204B" w:rsidP="009D204B">
      <w:pPr>
        <w:spacing w:line="480" w:lineRule="auto"/>
        <w:rPr>
          <w:rFonts w:ascii="Arial" w:hAnsi="Arial" w:cs="Arial"/>
          <w:color w:val="000000" w:themeColor="text1"/>
        </w:rPr>
      </w:pPr>
    </w:p>
    <w:p w14:paraId="2ED68A3E" w14:textId="77777777" w:rsidR="006B6428" w:rsidRDefault="006B6428" w:rsidP="009D204B">
      <w:pPr>
        <w:spacing w:line="480" w:lineRule="auto"/>
        <w:rPr>
          <w:rFonts w:ascii="Arial" w:hAnsi="Arial" w:cs="Arial"/>
          <w:color w:val="000000" w:themeColor="text1"/>
        </w:rPr>
      </w:pPr>
    </w:p>
    <w:p w14:paraId="0BB7F499" w14:textId="77777777" w:rsidR="009D204B" w:rsidRDefault="009D204B" w:rsidP="009D204B"/>
    <w:p w14:paraId="6AAD3347" w14:textId="77777777" w:rsidR="003F666C" w:rsidRDefault="003F666C"/>
    <w:p w14:paraId="70BEEE01" w14:textId="4F35DCF6" w:rsidR="00AD1AC4" w:rsidRDefault="003C1747" w:rsidP="00AD1AC4">
      <w:r>
        <w:rPr>
          <w:noProof/>
          <w14:ligatures w14:val="standardContextual"/>
        </w:rPr>
        <w:lastRenderedPageBreak/>
        <w:drawing>
          <wp:inline distT="0" distB="0" distL="0" distR="0" wp14:anchorId="3D1AC93D" wp14:editId="03738E71">
            <wp:extent cx="5943600" cy="5245735"/>
            <wp:effectExtent l="0" t="0" r="0" b="0"/>
            <wp:docPr id="629804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04885" name="Picture 6298048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245735"/>
                    </a:xfrm>
                    <a:prstGeom prst="rect">
                      <a:avLst/>
                    </a:prstGeom>
                  </pic:spPr>
                </pic:pic>
              </a:graphicData>
            </a:graphic>
          </wp:inline>
        </w:drawing>
      </w:r>
    </w:p>
    <w:p w14:paraId="50F30CDE" w14:textId="606A9771" w:rsidR="009F528D" w:rsidRPr="00833DD5" w:rsidRDefault="00AD1AC4" w:rsidP="009F528D">
      <w:pPr>
        <w:rPr>
          <w:rFonts w:ascii="Arial" w:eastAsia="Times New Roman" w:hAnsi="Arial" w:cs="Arial"/>
          <w:color w:val="000000" w:themeColor="text1"/>
          <w:shd w:val="clear" w:color="auto" w:fill="FFFFFF"/>
        </w:rPr>
      </w:pPr>
      <w:r w:rsidRPr="00833DD5">
        <w:rPr>
          <w:rFonts w:ascii="Arial" w:hAnsi="Arial" w:cs="Arial"/>
        </w:rPr>
        <w:t>Figure S</w:t>
      </w:r>
      <w:r w:rsidR="00E4638E" w:rsidRPr="00833DD5">
        <w:rPr>
          <w:rFonts w:ascii="Arial" w:hAnsi="Arial" w:cs="Arial"/>
        </w:rPr>
        <w:t>4</w:t>
      </w:r>
      <w:r w:rsidRPr="00833DD5">
        <w:rPr>
          <w:rFonts w:ascii="Arial" w:hAnsi="Arial" w:cs="Arial"/>
        </w:rPr>
        <w:t>. Module ZP plot for the RMT network.</w:t>
      </w:r>
      <w:r w:rsidR="001E72D8" w:rsidRPr="00833DD5">
        <w:rPr>
          <w:rFonts w:ascii="Arial" w:hAnsi="Arial" w:cs="Arial"/>
        </w:rPr>
        <w:t xml:space="preserve"> </w:t>
      </w:r>
      <w:r w:rsidR="007C1C75" w:rsidRPr="00833DD5">
        <w:rPr>
          <w:rFonts w:ascii="Arial" w:eastAsia="Times New Roman" w:hAnsi="Arial" w:cs="Arial"/>
          <w:color w:val="000000" w:themeColor="text1"/>
          <w:shd w:val="clear" w:color="auto" w:fill="FFFFFF"/>
        </w:rPr>
        <w:t>The axes are within-module connectivity (Z) and among-module connectivity (P). A network hub (Z &gt; 2.5 and P &gt; 0.62), module hub (Z &gt; 2.5 and P &lt; 0.62), connector (Z &lt; and P &gt; 0.62), or peripheral (Z &lt; 2.5 and P &lt; 0.62) are outlined by dashed lines.</w:t>
      </w:r>
    </w:p>
    <w:p w14:paraId="7944CBBD" w14:textId="77777777" w:rsidR="009F528D" w:rsidRDefault="009F528D" w:rsidP="009F528D">
      <w:pPr>
        <w:rPr>
          <w:rFonts w:ascii="Arial" w:hAnsi="Arial" w:cs="Arial"/>
          <w:color w:val="595959" w:themeColor="text1" w:themeTint="A6"/>
        </w:rPr>
      </w:pPr>
    </w:p>
    <w:p w14:paraId="26CED48E" w14:textId="1C1F581C" w:rsidR="00E85FFD" w:rsidRDefault="00E85FFD" w:rsidP="009F528D">
      <w:pPr>
        <w:rPr>
          <w:rFonts w:ascii="Arial" w:hAnsi="Arial" w:cs="Arial"/>
          <w:color w:val="595959" w:themeColor="text1" w:themeTint="A6"/>
        </w:rPr>
      </w:pPr>
      <w:r>
        <w:rPr>
          <w:rFonts w:ascii="Arial" w:hAnsi="Arial" w:cs="Arial"/>
          <w:noProof/>
          <w:color w:val="595959" w:themeColor="text1" w:themeTint="A6"/>
          <w14:ligatures w14:val="standardContextual"/>
        </w:rPr>
        <w:lastRenderedPageBreak/>
        <w:drawing>
          <wp:inline distT="0" distB="0" distL="0" distR="0" wp14:anchorId="7983F09A" wp14:editId="1B333F2A">
            <wp:extent cx="5943600" cy="4192905"/>
            <wp:effectExtent l="0" t="0" r="0" b="0"/>
            <wp:docPr id="1039749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49249" name="Picture 1039749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p>
    <w:p w14:paraId="26EEE8B1" w14:textId="209B22F2" w:rsidR="00E85FFD" w:rsidRPr="00833DD5" w:rsidRDefault="00E85FFD" w:rsidP="009F528D">
      <w:pPr>
        <w:rPr>
          <w:rFonts w:ascii="Arial" w:hAnsi="Arial" w:cs="Arial"/>
          <w:color w:val="000000" w:themeColor="text1"/>
        </w:rPr>
      </w:pPr>
      <w:r w:rsidRPr="00833DD5">
        <w:rPr>
          <w:rFonts w:ascii="Arial" w:hAnsi="Arial" w:cs="Arial"/>
          <w:color w:val="000000" w:themeColor="text1"/>
        </w:rPr>
        <w:t>Figure S</w:t>
      </w:r>
      <w:r w:rsidR="001D2455" w:rsidRPr="00833DD5">
        <w:rPr>
          <w:rFonts w:ascii="Arial" w:hAnsi="Arial" w:cs="Arial"/>
          <w:color w:val="000000" w:themeColor="text1"/>
        </w:rPr>
        <w:t>5</w:t>
      </w:r>
      <w:r w:rsidRPr="00833DD5">
        <w:rPr>
          <w:rFonts w:ascii="Arial" w:hAnsi="Arial" w:cs="Arial"/>
          <w:color w:val="000000" w:themeColor="text1"/>
        </w:rPr>
        <w:t>. Points and box whisker plots for the percent completion, genome size, and number of complete metabolic pathways. The color of the point in each of the plots shows the phylum level classification and the box whisker plots show the median, 25</w:t>
      </w:r>
      <w:r w:rsidRPr="00833DD5">
        <w:rPr>
          <w:rFonts w:ascii="Arial" w:hAnsi="Arial" w:cs="Arial"/>
          <w:color w:val="000000" w:themeColor="text1"/>
          <w:vertAlign w:val="superscript"/>
        </w:rPr>
        <w:t>th</w:t>
      </w:r>
      <w:r w:rsidRPr="00833DD5">
        <w:rPr>
          <w:rFonts w:ascii="Arial" w:hAnsi="Arial" w:cs="Arial"/>
          <w:color w:val="000000" w:themeColor="text1"/>
        </w:rPr>
        <w:t>, and 75</w:t>
      </w:r>
      <w:r w:rsidRPr="00833DD5">
        <w:rPr>
          <w:rFonts w:ascii="Arial" w:hAnsi="Arial" w:cs="Arial"/>
          <w:color w:val="000000" w:themeColor="text1"/>
          <w:vertAlign w:val="superscript"/>
        </w:rPr>
        <w:t>th</w:t>
      </w:r>
      <w:r w:rsidRPr="00833DD5">
        <w:rPr>
          <w:rFonts w:ascii="Arial" w:hAnsi="Arial" w:cs="Arial"/>
          <w:color w:val="000000" w:themeColor="text1"/>
        </w:rPr>
        <w:t xml:space="preserve"> percentile. Statistics at the top of each plot show the comparison between the MAGs with a generally shallow distribution (unconnected, modules 3 and 6) vs deep (modules 1,2,</w:t>
      </w:r>
      <w:r w:rsidR="009B4D1E" w:rsidRPr="00833DD5">
        <w:rPr>
          <w:rFonts w:ascii="Arial" w:hAnsi="Arial" w:cs="Arial"/>
          <w:color w:val="000000" w:themeColor="text1"/>
        </w:rPr>
        <w:t>4</w:t>
      </w:r>
      <w:r w:rsidRPr="00833DD5">
        <w:rPr>
          <w:rFonts w:ascii="Arial" w:hAnsi="Arial" w:cs="Arial"/>
          <w:color w:val="000000" w:themeColor="text1"/>
        </w:rPr>
        <w:t>,</w:t>
      </w:r>
      <w:r w:rsidR="009B4D1E" w:rsidRPr="00833DD5">
        <w:rPr>
          <w:rFonts w:ascii="Arial" w:hAnsi="Arial" w:cs="Arial"/>
          <w:color w:val="000000" w:themeColor="text1"/>
        </w:rPr>
        <w:t>5</w:t>
      </w:r>
      <w:r w:rsidRPr="00833DD5">
        <w:rPr>
          <w:rFonts w:ascii="Arial" w:hAnsi="Arial" w:cs="Arial"/>
          <w:color w:val="000000" w:themeColor="text1"/>
        </w:rPr>
        <w:t xml:space="preserve"> and 7). The statistics of the ANOVA and least mean squares analysis are shown at the top of each figure. The results include the estimated difference between groups, the </w:t>
      </w:r>
      <w:r w:rsidR="00346DFC" w:rsidRPr="00833DD5">
        <w:rPr>
          <w:rFonts w:ascii="Arial" w:hAnsi="Arial" w:cs="Arial"/>
          <w:color w:val="000000" w:themeColor="text1"/>
        </w:rPr>
        <w:t>standard error of the estimate and the p-value.</w:t>
      </w:r>
    </w:p>
    <w:p w14:paraId="34FFDCDE" w14:textId="226F17E5" w:rsidR="0075242D" w:rsidRDefault="005628E6" w:rsidP="00C5320D">
      <w:pPr>
        <w:rPr>
          <w:rFonts w:ascii="Arial" w:eastAsia="Times New Roman" w:hAnsi="Arial" w:cs="Arial"/>
          <w:color w:val="000000" w:themeColor="text1"/>
          <w:shd w:val="clear" w:color="auto" w:fill="FFFFFF"/>
        </w:rPr>
      </w:pPr>
      <w:r>
        <w:rPr>
          <w:rFonts w:ascii="Arial" w:eastAsia="Times New Roman" w:hAnsi="Arial" w:cs="Arial"/>
          <w:noProof/>
          <w:color w:val="000000" w:themeColor="text1"/>
          <w:shd w:val="clear" w:color="auto" w:fill="FFFFFF"/>
          <w14:ligatures w14:val="standardContextual"/>
        </w:rPr>
        <w:lastRenderedPageBreak/>
        <w:drawing>
          <wp:inline distT="0" distB="0" distL="0" distR="0" wp14:anchorId="1AF47AB8" wp14:editId="2648CDB5">
            <wp:extent cx="5943600" cy="7513320"/>
            <wp:effectExtent l="0" t="0" r="0" b="5080"/>
            <wp:docPr id="677261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61841" name="Picture 677261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513320"/>
                    </a:xfrm>
                    <a:prstGeom prst="rect">
                      <a:avLst/>
                    </a:prstGeom>
                  </pic:spPr>
                </pic:pic>
              </a:graphicData>
            </a:graphic>
          </wp:inline>
        </w:drawing>
      </w:r>
    </w:p>
    <w:p w14:paraId="77204C0C" w14:textId="67EC816B" w:rsidR="0075242D" w:rsidRDefault="0075242D" w:rsidP="00C5320D">
      <w:r>
        <w:rPr>
          <w:rFonts w:ascii="Arial" w:eastAsia="Times New Roman" w:hAnsi="Arial" w:cs="Arial"/>
          <w:color w:val="000000" w:themeColor="text1"/>
          <w:shd w:val="clear" w:color="auto" w:fill="FFFFFF"/>
        </w:rPr>
        <w:t>Figure S</w:t>
      </w:r>
      <w:r w:rsidR="001D2455">
        <w:rPr>
          <w:rFonts w:ascii="Arial" w:eastAsia="Times New Roman" w:hAnsi="Arial" w:cs="Arial"/>
          <w:color w:val="000000" w:themeColor="text1"/>
          <w:shd w:val="clear" w:color="auto" w:fill="FFFFFF"/>
        </w:rPr>
        <w:t>6</w:t>
      </w:r>
      <w:r>
        <w:rPr>
          <w:rFonts w:ascii="Arial" w:eastAsia="Times New Roman" w:hAnsi="Arial" w:cs="Arial"/>
          <w:color w:val="000000" w:themeColor="text1"/>
          <w:shd w:val="clear" w:color="auto" w:fill="FFFFFF"/>
        </w:rPr>
        <w:t xml:space="preserve">. </w:t>
      </w:r>
      <w:r w:rsidR="00620D8C">
        <w:rPr>
          <w:rFonts w:ascii="Arial" w:eastAsia="Times New Roman" w:hAnsi="Arial" w:cs="Arial"/>
          <w:color w:val="000000" w:themeColor="text1"/>
          <w:shd w:val="clear" w:color="auto" w:fill="FFFFFF"/>
        </w:rPr>
        <w:t xml:space="preserve">A.) </w:t>
      </w:r>
      <w:r w:rsidR="0091441E">
        <w:rPr>
          <w:rFonts w:ascii="Arial" w:eastAsia="Times New Roman" w:hAnsi="Arial" w:cs="Arial"/>
          <w:color w:val="000000" w:themeColor="text1"/>
          <w:shd w:val="clear" w:color="auto" w:fill="FFFFFF"/>
        </w:rPr>
        <w:t xml:space="preserve">Glycoside hydrolase (GH) </w:t>
      </w:r>
      <w:r w:rsidR="007E681C">
        <w:rPr>
          <w:rFonts w:ascii="Arial" w:eastAsia="Times New Roman" w:hAnsi="Arial" w:cs="Arial"/>
          <w:color w:val="000000" w:themeColor="text1"/>
          <w:shd w:val="clear" w:color="auto" w:fill="FFFFFF"/>
        </w:rPr>
        <w:t>(</w:t>
      </w:r>
      <w:proofErr w:type="spellStart"/>
      <w:r w:rsidR="007E681C">
        <w:rPr>
          <w:rFonts w:ascii="Arial" w:eastAsia="Times New Roman" w:hAnsi="Arial" w:cs="Arial"/>
          <w:color w:val="000000" w:themeColor="text1"/>
          <w:shd w:val="clear" w:color="auto" w:fill="FFFFFF"/>
        </w:rPr>
        <w:t>CAZy</w:t>
      </w:r>
      <w:r w:rsidR="0091441E">
        <w:rPr>
          <w:rFonts w:ascii="Arial" w:eastAsia="Times New Roman" w:hAnsi="Arial" w:cs="Arial"/>
          <w:color w:val="000000" w:themeColor="text1"/>
          <w:shd w:val="clear" w:color="auto" w:fill="FFFFFF"/>
        </w:rPr>
        <w:t>mes</w:t>
      </w:r>
      <w:proofErr w:type="spellEnd"/>
      <w:r w:rsidR="007E681C">
        <w:rPr>
          <w:rFonts w:ascii="Arial" w:eastAsia="Times New Roman" w:hAnsi="Arial" w:cs="Arial"/>
          <w:color w:val="000000" w:themeColor="text1"/>
          <w:shd w:val="clear" w:color="auto" w:fill="FFFFFF"/>
        </w:rPr>
        <w:t>)</w:t>
      </w:r>
      <w:r>
        <w:rPr>
          <w:rFonts w:ascii="Arial" w:eastAsia="Times New Roman" w:hAnsi="Arial" w:cs="Arial"/>
          <w:color w:val="000000" w:themeColor="text1"/>
          <w:shd w:val="clear" w:color="auto" w:fill="FFFFFF"/>
        </w:rPr>
        <w:t xml:space="preserve"> </w:t>
      </w:r>
      <w:r w:rsidR="0091441E">
        <w:rPr>
          <w:rFonts w:ascii="Arial" w:eastAsia="Times New Roman" w:hAnsi="Arial" w:cs="Arial"/>
          <w:color w:val="000000" w:themeColor="text1"/>
          <w:shd w:val="clear" w:color="auto" w:fill="FFFFFF"/>
        </w:rPr>
        <w:t xml:space="preserve">and </w:t>
      </w:r>
      <w:r w:rsidR="00620D8C">
        <w:rPr>
          <w:rFonts w:ascii="Arial" w:eastAsia="Times New Roman" w:hAnsi="Arial" w:cs="Arial"/>
          <w:color w:val="000000" w:themeColor="text1"/>
          <w:shd w:val="clear" w:color="auto" w:fill="FFFFFF"/>
        </w:rPr>
        <w:t xml:space="preserve">B.) </w:t>
      </w:r>
      <w:r w:rsidR="0091441E">
        <w:rPr>
          <w:rFonts w:ascii="Arial" w:eastAsia="Times New Roman" w:hAnsi="Arial" w:cs="Arial"/>
          <w:color w:val="000000" w:themeColor="text1"/>
          <w:shd w:val="clear" w:color="auto" w:fill="FFFFFF"/>
        </w:rPr>
        <w:t xml:space="preserve">peptidase (MEROPS) </w:t>
      </w:r>
      <w:r w:rsidR="003D0DA8">
        <w:rPr>
          <w:rFonts w:ascii="Arial" w:eastAsia="Times New Roman" w:hAnsi="Arial" w:cs="Arial"/>
          <w:color w:val="000000" w:themeColor="text1"/>
          <w:shd w:val="clear" w:color="auto" w:fill="FFFFFF"/>
        </w:rPr>
        <w:t xml:space="preserve">homolog </w:t>
      </w:r>
      <w:r w:rsidR="00620D8C">
        <w:rPr>
          <w:rFonts w:ascii="Arial" w:eastAsia="Times New Roman" w:hAnsi="Arial" w:cs="Arial"/>
          <w:color w:val="000000" w:themeColor="text1"/>
          <w:shd w:val="clear" w:color="auto" w:fill="FFFFFF"/>
        </w:rPr>
        <w:t xml:space="preserve">totals in each </w:t>
      </w:r>
      <w:r w:rsidR="0091441E">
        <w:rPr>
          <w:rFonts w:ascii="Arial" w:eastAsia="Times New Roman" w:hAnsi="Arial" w:cs="Arial"/>
          <w:color w:val="000000" w:themeColor="text1"/>
          <w:shd w:val="clear" w:color="auto" w:fill="FFFFFF"/>
        </w:rPr>
        <w:t>MAG, grouped according to their network module</w:t>
      </w:r>
      <w:r w:rsidR="00620D8C">
        <w:rPr>
          <w:rFonts w:ascii="Arial" w:eastAsia="Times New Roman" w:hAnsi="Arial" w:cs="Arial"/>
          <w:color w:val="000000" w:themeColor="text1"/>
          <w:shd w:val="clear" w:color="auto" w:fill="FFFFFF"/>
        </w:rPr>
        <w:t xml:space="preserve">. The points show the counts for each MAG and </w:t>
      </w:r>
      <w:r w:rsidR="00C949CE">
        <w:rPr>
          <w:rFonts w:ascii="Arial" w:eastAsia="Times New Roman" w:hAnsi="Arial" w:cs="Arial"/>
          <w:color w:val="000000" w:themeColor="text1"/>
          <w:shd w:val="clear" w:color="auto" w:fill="FFFFFF"/>
        </w:rPr>
        <w:t xml:space="preserve">are </w:t>
      </w:r>
      <w:r w:rsidR="00620D8C">
        <w:rPr>
          <w:rFonts w:ascii="Arial" w:eastAsia="Times New Roman" w:hAnsi="Arial" w:cs="Arial"/>
          <w:color w:val="000000" w:themeColor="text1"/>
          <w:shd w:val="clear" w:color="auto" w:fill="FFFFFF"/>
        </w:rPr>
        <w:t xml:space="preserve">colored according to phylum level classification. The box-whisker </w:t>
      </w:r>
      <w:r w:rsidR="009D28DE">
        <w:rPr>
          <w:rFonts w:ascii="Arial" w:eastAsia="Times New Roman" w:hAnsi="Arial" w:cs="Arial"/>
          <w:color w:val="000000" w:themeColor="text1"/>
          <w:shd w:val="clear" w:color="auto" w:fill="FFFFFF"/>
        </w:rPr>
        <w:t>plots are shown to provide the median, 25</w:t>
      </w:r>
      <w:r w:rsidR="009D28DE" w:rsidRPr="00833DD5">
        <w:rPr>
          <w:rFonts w:ascii="Arial" w:eastAsia="Times New Roman" w:hAnsi="Arial" w:cs="Arial"/>
          <w:color w:val="000000" w:themeColor="text1"/>
          <w:shd w:val="clear" w:color="auto" w:fill="FFFFFF"/>
          <w:vertAlign w:val="superscript"/>
        </w:rPr>
        <w:t>th</w:t>
      </w:r>
      <w:r w:rsidR="009D28DE">
        <w:rPr>
          <w:rFonts w:ascii="Arial" w:eastAsia="Times New Roman" w:hAnsi="Arial" w:cs="Arial"/>
          <w:color w:val="000000" w:themeColor="text1"/>
          <w:shd w:val="clear" w:color="auto" w:fill="FFFFFF"/>
        </w:rPr>
        <w:t>, and 75</w:t>
      </w:r>
      <w:r w:rsidR="009D28DE" w:rsidRPr="00833DD5">
        <w:rPr>
          <w:rFonts w:ascii="Arial" w:eastAsia="Times New Roman" w:hAnsi="Arial" w:cs="Arial"/>
          <w:color w:val="000000" w:themeColor="text1"/>
          <w:shd w:val="clear" w:color="auto" w:fill="FFFFFF"/>
          <w:vertAlign w:val="superscript"/>
        </w:rPr>
        <w:t>th</w:t>
      </w:r>
      <w:r w:rsidR="009D28DE">
        <w:rPr>
          <w:rFonts w:ascii="Arial" w:eastAsia="Times New Roman" w:hAnsi="Arial" w:cs="Arial"/>
          <w:color w:val="000000" w:themeColor="text1"/>
          <w:shd w:val="clear" w:color="auto" w:fill="FFFFFF"/>
        </w:rPr>
        <w:t xml:space="preserve"> percentiles. The </w:t>
      </w:r>
      <w:r w:rsidR="009D28DE">
        <w:rPr>
          <w:rFonts w:ascii="Arial" w:eastAsia="Times New Roman" w:hAnsi="Arial" w:cs="Arial"/>
          <w:color w:val="000000" w:themeColor="text1"/>
          <w:shd w:val="clear" w:color="auto" w:fill="FFFFFF"/>
        </w:rPr>
        <w:lastRenderedPageBreak/>
        <w:t>color of the box aligns with the network modules</w:t>
      </w:r>
      <w:r w:rsidR="00A80D8D">
        <w:rPr>
          <w:rFonts w:ascii="Arial" w:eastAsia="Times New Roman" w:hAnsi="Arial" w:cs="Arial"/>
          <w:color w:val="000000" w:themeColor="text1"/>
          <w:shd w:val="clear" w:color="auto" w:fill="FFFFFF"/>
        </w:rPr>
        <w:t xml:space="preserve"> shown on </w:t>
      </w:r>
      <w:r>
        <w:rPr>
          <w:rFonts w:ascii="Arial" w:eastAsia="Times New Roman" w:hAnsi="Arial" w:cs="Arial"/>
          <w:color w:val="000000" w:themeColor="text1"/>
          <w:shd w:val="clear" w:color="auto" w:fill="FFFFFF"/>
        </w:rPr>
        <w:t>the x</w:t>
      </w:r>
      <w:r w:rsidR="00A80D8D">
        <w:rPr>
          <w:rFonts w:ascii="Arial" w:eastAsia="Times New Roman" w:hAnsi="Arial" w:cs="Arial"/>
          <w:color w:val="000000" w:themeColor="text1"/>
          <w:shd w:val="clear" w:color="auto" w:fill="FFFFFF"/>
        </w:rPr>
        <w:t>-</w:t>
      </w:r>
      <w:r>
        <w:rPr>
          <w:rFonts w:ascii="Arial" w:eastAsia="Times New Roman" w:hAnsi="Arial" w:cs="Arial"/>
          <w:color w:val="000000" w:themeColor="text1"/>
          <w:shd w:val="clear" w:color="auto" w:fill="FFFFFF"/>
        </w:rPr>
        <w:t>axis for the unconnected MAGs (“a_0”) and other studied modules, ordered from shallow to deep distribution (see Fig. 4 in the main text).</w:t>
      </w:r>
      <w:r w:rsidR="00620D8C">
        <w:rPr>
          <w:rFonts w:ascii="Arial" w:eastAsia="Times New Roman" w:hAnsi="Arial" w:cs="Arial"/>
          <w:color w:val="000000" w:themeColor="text1"/>
          <w:shd w:val="clear" w:color="auto" w:fill="FFFFFF"/>
        </w:rPr>
        <w:t xml:space="preserve"> The significance of the ANOVA and Least-Square means test</w:t>
      </w:r>
      <w:r w:rsidR="004B61A1">
        <w:rPr>
          <w:rFonts w:ascii="Arial" w:eastAsia="Times New Roman" w:hAnsi="Arial" w:cs="Arial"/>
          <w:color w:val="000000" w:themeColor="text1"/>
          <w:shd w:val="clear" w:color="auto" w:fill="FFFFFF"/>
        </w:rPr>
        <w:t xml:space="preserve"> for the MEROPS</w:t>
      </w:r>
      <w:r w:rsidR="00620D8C">
        <w:rPr>
          <w:rFonts w:ascii="Arial" w:eastAsia="Times New Roman" w:hAnsi="Arial" w:cs="Arial"/>
          <w:color w:val="000000" w:themeColor="text1"/>
          <w:shd w:val="clear" w:color="auto" w:fill="FFFFFF"/>
        </w:rPr>
        <w:t xml:space="preserve"> are shown in Table S</w:t>
      </w:r>
      <w:r w:rsidR="00954331">
        <w:rPr>
          <w:rFonts w:ascii="Arial" w:eastAsia="Times New Roman" w:hAnsi="Arial" w:cs="Arial"/>
          <w:color w:val="000000" w:themeColor="text1"/>
          <w:shd w:val="clear" w:color="auto" w:fill="FFFFFF"/>
        </w:rPr>
        <w:t>3</w:t>
      </w:r>
      <w:r w:rsidR="002E5695">
        <w:rPr>
          <w:rFonts w:ascii="Arial" w:eastAsia="Times New Roman" w:hAnsi="Arial" w:cs="Arial"/>
          <w:color w:val="000000" w:themeColor="text1"/>
          <w:shd w:val="clear" w:color="auto" w:fill="FFFFFF"/>
        </w:rPr>
        <w:t>.</w:t>
      </w:r>
    </w:p>
    <w:p w14:paraId="16515E2E" w14:textId="77777777" w:rsidR="00C5320D" w:rsidRDefault="00C5320D" w:rsidP="007C1C75">
      <w:pPr>
        <w:rPr>
          <w:rFonts w:ascii="Arial" w:eastAsia="Times New Roman" w:hAnsi="Arial" w:cs="Arial"/>
          <w:color w:val="000000" w:themeColor="text1"/>
          <w:shd w:val="clear" w:color="auto" w:fill="FFFFFF"/>
        </w:rPr>
      </w:pPr>
    </w:p>
    <w:p w14:paraId="0C3EF52A" w14:textId="77777777" w:rsidR="002B6F6C" w:rsidRDefault="002B6F6C"/>
    <w:p w14:paraId="31FBAC0C" w14:textId="5DF14CDD" w:rsidR="00B26AEE" w:rsidRDefault="00B26AEE" w:rsidP="0069073B">
      <w:pPr>
        <w:rPr>
          <w:rFonts w:ascii="Arial" w:eastAsia="Times New Roman" w:hAnsi="Arial" w:cs="Arial"/>
          <w:color w:val="000000" w:themeColor="text1"/>
          <w:shd w:val="clear" w:color="auto" w:fill="FFFFFF"/>
        </w:rPr>
      </w:pPr>
    </w:p>
    <w:p w14:paraId="495021D9" w14:textId="77777777" w:rsidR="00B26AEE" w:rsidRDefault="00B26AEE" w:rsidP="0069073B">
      <w:pPr>
        <w:rPr>
          <w:rFonts w:ascii="Arial" w:eastAsia="Times New Roman" w:hAnsi="Arial" w:cs="Arial"/>
          <w:color w:val="000000" w:themeColor="text1"/>
          <w:shd w:val="clear" w:color="auto" w:fill="FFFFFF"/>
        </w:rPr>
      </w:pPr>
    </w:p>
    <w:p w14:paraId="0A8A6313" w14:textId="6D1603B6" w:rsidR="007E127A" w:rsidRDefault="00601671" w:rsidP="0069073B">
      <w:r>
        <w:rPr>
          <w:noProof/>
          <w14:ligatures w14:val="standardContextual"/>
        </w:rPr>
        <w:lastRenderedPageBreak/>
        <w:drawing>
          <wp:inline distT="0" distB="0" distL="0" distR="0" wp14:anchorId="009950F6" wp14:editId="254880C5">
            <wp:extent cx="5060315" cy="8229600"/>
            <wp:effectExtent l="0" t="0" r="0" b="0"/>
            <wp:docPr id="10671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42672" name="Picture 10671426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60315" cy="8229600"/>
                    </a:xfrm>
                    <a:prstGeom prst="rect">
                      <a:avLst/>
                    </a:prstGeom>
                  </pic:spPr>
                </pic:pic>
              </a:graphicData>
            </a:graphic>
          </wp:inline>
        </w:drawing>
      </w:r>
    </w:p>
    <w:p w14:paraId="54302385" w14:textId="6C33A760" w:rsidR="0069073B" w:rsidRDefault="004923A5">
      <w:r>
        <w:lastRenderedPageBreak/>
        <w:t>Figure S</w:t>
      </w:r>
      <w:r w:rsidR="004609F3">
        <w:t>7</w:t>
      </w:r>
      <w:r>
        <w:t xml:space="preserve">. </w:t>
      </w:r>
      <w:r w:rsidR="004609F3">
        <w:t>Bathyarchaeia BA1 subnetwork</w:t>
      </w:r>
      <w:r w:rsidR="00421754">
        <w:t xml:space="preserve">. A.) </w:t>
      </w:r>
      <w:r w:rsidR="00115203">
        <w:t xml:space="preserve">The connections among </w:t>
      </w:r>
      <w:r w:rsidR="005E4571">
        <w:t xml:space="preserve">MAGs in the </w:t>
      </w:r>
      <w:r w:rsidR="00421754">
        <w:t xml:space="preserve"> </w:t>
      </w:r>
      <w:r w:rsidR="004609F3">
        <w:t>sub</w:t>
      </w:r>
      <w:r w:rsidR="00115203">
        <w:t>network</w:t>
      </w:r>
      <w:r w:rsidR="00C11779">
        <w:t>. All connections in the network are positive.</w:t>
      </w:r>
      <w:r w:rsidR="000B3873">
        <w:t xml:space="preserve"> The shape of the node indicates the module from the network including all MAGs (Fig. 4A), </w:t>
      </w:r>
      <w:r w:rsidR="009B2419">
        <w:t>different colors are used for order level taxonomy</w:t>
      </w:r>
      <w:r w:rsidR="00601671">
        <w:t xml:space="preserve">, and the size </w:t>
      </w:r>
      <w:r w:rsidR="00833DD5">
        <w:t xml:space="preserve">of the shape </w:t>
      </w:r>
      <w:r w:rsidR="00601671">
        <w:t>is indicative of the MAG size in Mbp</w:t>
      </w:r>
      <w:r w:rsidR="009B2419">
        <w:t>.</w:t>
      </w:r>
      <w:r w:rsidR="00E6465F">
        <w:t xml:space="preserve"> Taxonomic names include family or genus name when </w:t>
      </w:r>
      <w:r w:rsidR="005E4571">
        <w:t xml:space="preserve">possible. </w:t>
      </w:r>
      <w:r w:rsidR="00421754">
        <w:t xml:space="preserve">B.) A bubble plot </w:t>
      </w:r>
      <w:r w:rsidR="00E6465F">
        <w:t xml:space="preserve">for each of the six cores showing </w:t>
      </w:r>
      <w:r w:rsidR="00421754">
        <w:t>the relative abundance of MAGs in the subnetwork</w:t>
      </w:r>
      <w:r w:rsidR="005E4571">
        <w:t xml:space="preserve"> with the same colors applied to the taxonomic groups in A. </w:t>
      </w:r>
      <w:r w:rsidR="00421754">
        <w:t>C.) METABOLIC functional annotation for each of the MAGs in the</w:t>
      </w:r>
      <w:r w:rsidR="005E4571">
        <w:t xml:space="preserve"> </w:t>
      </w:r>
      <w:r w:rsidR="000A0B85">
        <w:t>subnetwork</w:t>
      </w:r>
      <w:r w:rsidR="00421754">
        <w:t xml:space="preserve">. </w:t>
      </w:r>
      <w:r w:rsidR="000A0B85">
        <w:t xml:space="preserve">At the top of the panel, is the phylogenetic structure of the subcommunity </w:t>
      </w:r>
      <w:r w:rsidR="00421754">
        <w:t>The presence of a function is marked by a black bar in the panel and grey if the function was absent.</w:t>
      </w:r>
      <w:r w:rsidR="005E4571">
        <w:t xml:space="preserve"> A color bar is show for the taxonomy and is consistent with panel A and B. </w:t>
      </w:r>
    </w:p>
    <w:p w14:paraId="6C9C3771" w14:textId="77777777" w:rsidR="004609F3" w:rsidRDefault="004609F3"/>
    <w:p w14:paraId="66E703F4" w14:textId="29A3FAE0" w:rsidR="00EA3033" w:rsidRDefault="00DC5DD0" w:rsidP="00EA3033">
      <w:pPr>
        <w:rPr>
          <w:rFonts w:ascii="Arial" w:eastAsia="Times New Roman" w:hAnsi="Arial" w:cs="Arial"/>
          <w:color w:val="000000" w:themeColor="text1"/>
          <w:shd w:val="clear" w:color="auto" w:fill="FFFFFF"/>
        </w:rPr>
      </w:pPr>
      <w:r>
        <w:rPr>
          <w:rFonts w:ascii="Arial" w:eastAsia="Times New Roman" w:hAnsi="Arial" w:cs="Arial"/>
          <w:noProof/>
          <w:color w:val="000000" w:themeColor="text1"/>
          <w:shd w:val="clear" w:color="auto" w:fill="FFFFFF"/>
          <w14:ligatures w14:val="standardContextual"/>
        </w:rPr>
        <w:drawing>
          <wp:inline distT="0" distB="0" distL="0" distR="0" wp14:anchorId="12DC3D38" wp14:editId="23867E30">
            <wp:extent cx="4332514" cy="5626251"/>
            <wp:effectExtent l="0" t="0" r="0" b="0"/>
            <wp:docPr id="79740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0705" name="Picture 797407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7676" cy="5632954"/>
                    </a:xfrm>
                    <a:prstGeom prst="rect">
                      <a:avLst/>
                    </a:prstGeom>
                  </pic:spPr>
                </pic:pic>
              </a:graphicData>
            </a:graphic>
          </wp:inline>
        </w:drawing>
      </w:r>
    </w:p>
    <w:p w14:paraId="478F8573" w14:textId="107F9B5F" w:rsidR="00EA3033" w:rsidRDefault="00EA3033" w:rsidP="00EA3033">
      <w:pPr>
        <w:rPr>
          <w:rFonts w:ascii="Arial" w:eastAsia="Times New Roman" w:hAnsi="Arial" w:cs="Arial"/>
          <w:color w:val="000000" w:themeColor="text1"/>
          <w:shd w:val="clear" w:color="auto" w:fill="FFFFFF"/>
        </w:rPr>
      </w:pPr>
      <w:r>
        <w:rPr>
          <w:rFonts w:ascii="Arial" w:eastAsia="Times New Roman" w:hAnsi="Arial" w:cs="Arial"/>
          <w:color w:val="000000" w:themeColor="text1"/>
          <w:shd w:val="clear" w:color="auto" w:fill="FFFFFF"/>
        </w:rPr>
        <w:t>Figure S</w:t>
      </w:r>
      <w:r w:rsidR="00B63DD6">
        <w:rPr>
          <w:rFonts w:ascii="Arial" w:eastAsia="Times New Roman" w:hAnsi="Arial" w:cs="Arial"/>
          <w:color w:val="000000" w:themeColor="text1"/>
          <w:shd w:val="clear" w:color="auto" w:fill="FFFFFF"/>
        </w:rPr>
        <w:t>8</w:t>
      </w:r>
      <w:r>
        <w:rPr>
          <w:rFonts w:ascii="Arial" w:eastAsia="Times New Roman" w:hAnsi="Arial" w:cs="Arial"/>
          <w:color w:val="000000" w:themeColor="text1"/>
          <w:shd w:val="clear" w:color="auto" w:fill="FFFFFF"/>
        </w:rPr>
        <w:t xml:space="preserve">. Plots of mean coverage (x-axis) and SNV variability (y-axis) for MAGs in the BA1 Bathyarchaeia subnetwork. The points are colored according to the sample depth. </w:t>
      </w:r>
      <w:r>
        <w:rPr>
          <w:rFonts w:ascii="Arial" w:eastAsia="Times New Roman" w:hAnsi="Arial" w:cs="Arial"/>
          <w:color w:val="000000" w:themeColor="text1"/>
          <w:shd w:val="clear" w:color="auto" w:fill="FFFFFF"/>
        </w:rPr>
        <w:lastRenderedPageBreak/>
        <w:t>A linear model line is plotted for points that are greater than a mean coverage of 15. A red box is drawn around plots that were evaluated for patterns in the SNV profile and density.</w:t>
      </w:r>
    </w:p>
    <w:p w14:paraId="67FF7680" w14:textId="77777777" w:rsidR="00EA3033" w:rsidRDefault="00EA3033" w:rsidP="00EA3033">
      <w:pPr>
        <w:rPr>
          <w:rFonts w:ascii="Arial" w:eastAsia="Times New Roman" w:hAnsi="Arial" w:cs="Arial"/>
          <w:color w:val="000000" w:themeColor="text1"/>
          <w:shd w:val="clear" w:color="auto" w:fill="FFFFFF"/>
        </w:rPr>
      </w:pPr>
    </w:p>
    <w:p w14:paraId="1D3938D7" w14:textId="2FB77208" w:rsidR="00226955" w:rsidRDefault="00226955"/>
    <w:p w14:paraId="0B8596D2" w14:textId="183E5847" w:rsidR="00226955" w:rsidRDefault="00226955">
      <w:r>
        <w:t>Supplemental Tables</w:t>
      </w:r>
      <w:r w:rsidR="001D2455">
        <w:t xml:space="preserve"> are found in the git for this manuscript</w:t>
      </w:r>
      <w:r w:rsidR="009F1DB1">
        <w:t>.</w:t>
      </w:r>
    </w:p>
    <w:p w14:paraId="7E6A175E" w14:textId="77777777" w:rsidR="001D2455" w:rsidRDefault="001D2455"/>
    <w:p w14:paraId="57335282" w14:textId="4A0036DE" w:rsidR="00FA6579" w:rsidRDefault="007F6305" w:rsidP="001D2455">
      <w:r w:rsidRPr="007F6305">
        <w:t>https://github.com/jvineis/DEEP-CORE-MANUSCRIPT/</w:t>
      </w:r>
    </w:p>
    <w:p w14:paraId="0F4C00F9" w14:textId="77777777" w:rsidR="00DE7D57" w:rsidRDefault="00DE7D57"/>
    <w:p w14:paraId="2327AE1A" w14:textId="77777777" w:rsidR="00A61FD8" w:rsidRDefault="00A61FD8"/>
    <w:sectPr w:rsidR="00A61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54"/>
    <w:rsid w:val="00001EE8"/>
    <w:rsid w:val="00006F65"/>
    <w:rsid w:val="00022A61"/>
    <w:rsid w:val="00036DB2"/>
    <w:rsid w:val="00037590"/>
    <w:rsid w:val="00037F05"/>
    <w:rsid w:val="000702C4"/>
    <w:rsid w:val="00084305"/>
    <w:rsid w:val="000A0B85"/>
    <w:rsid w:val="000B3873"/>
    <w:rsid w:val="000E18DE"/>
    <w:rsid w:val="000F0BB0"/>
    <w:rsid w:val="000F4BFD"/>
    <w:rsid w:val="00107C22"/>
    <w:rsid w:val="00115203"/>
    <w:rsid w:val="00116F83"/>
    <w:rsid w:val="001177A9"/>
    <w:rsid w:val="00123BA4"/>
    <w:rsid w:val="00146D4D"/>
    <w:rsid w:val="00171DD6"/>
    <w:rsid w:val="00195F4D"/>
    <w:rsid w:val="001A0C51"/>
    <w:rsid w:val="001D23EF"/>
    <w:rsid w:val="001D2455"/>
    <w:rsid w:val="001E5E58"/>
    <w:rsid w:val="001E72D8"/>
    <w:rsid w:val="001F4D4D"/>
    <w:rsid w:val="00226955"/>
    <w:rsid w:val="002271F1"/>
    <w:rsid w:val="00252D9A"/>
    <w:rsid w:val="00255F4E"/>
    <w:rsid w:val="00266D8D"/>
    <w:rsid w:val="002737AA"/>
    <w:rsid w:val="00296331"/>
    <w:rsid w:val="002B0E1D"/>
    <w:rsid w:val="002B6F6C"/>
    <w:rsid w:val="002E5695"/>
    <w:rsid w:val="00327DE2"/>
    <w:rsid w:val="00346DFC"/>
    <w:rsid w:val="00354E57"/>
    <w:rsid w:val="00361616"/>
    <w:rsid w:val="0036274B"/>
    <w:rsid w:val="0036543D"/>
    <w:rsid w:val="00381BF8"/>
    <w:rsid w:val="00384ACA"/>
    <w:rsid w:val="003B0BCE"/>
    <w:rsid w:val="003C03BD"/>
    <w:rsid w:val="003C1747"/>
    <w:rsid w:val="003D0DA8"/>
    <w:rsid w:val="003E2395"/>
    <w:rsid w:val="003F666C"/>
    <w:rsid w:val="0040290E"/>
    <w:rsid w:val="00421754"/>
    <w:rsid w:val="004452C2"/>
    <w:rsid w:val="00453CDA"/>
    <w:rsid w:val="004609F3"/>
    <w:rsid w:val="00467D6F"/>
    <w:rsid w:val="004857A7"/>
    <w:rsid w:val="0048642B"/>
    <w:rsid w:val="00491456"/>
    <w:rsid w:val="004923A5"/>
    <w:rsid w:val="00494900"/>
    <w:rsid w:val="004974CC"/>
    <w:rsid w:val="004A0076"/>
    <w:rsid w:val="004B61A1"/>
    <w:rsid w:val="004D1A55"/>
    <w:rsid w:val="004D3454"/>
    <w:rsid w:val="004E2C42"/>
    <w:rsid w:val="004F3794"/>
    <w:rsid w:val="005029DB"/>
    <w:rsid w:val="0052004C"/>
    <w:rsid w:val="00536D99"/>
    <w:rsid w:val="005458DF"/>
    <w:rsid w:val="005628E6"/>
    <w:rsid w:val="00583E0F"/>
    <w:rsid w:val="0059776D"/>
    <w:rsid w:val="005A4DE2"/>
    <w:rsid w:val="005B376E"/>
    <w:rsid w:val="005D3C58"/>
    <w:rsid w:val="005E4571"/>
    <w:rsid w:val="005E6A3B"/>
    <w:rsid w:val="00601671"/>
    <w:rsid w:val="00620D8C"/>
    <w:rsid w:val="00680602"/>
    <w:rsid w:val="00681904"/>
    <w:rsid w:val="0069073B"/>
    <w:rsid w:val="006A520B"/>
    <w:rsid w:val="006B037E"/>
    <w:rsid w:val="006B6428"/>
    <w:rsid w:val="006D2AFD"/>
    <w:rsid w:val="00701627"/>
    <w:rsid w:val="00720F0F"/>
    <w:rsid w:val="00722BF7"/>
    <w:rsid w:val="00730442"/>
    <w:rsid w:val="007304F7"/>
    <w:rsid w:val="007461B5"/>
    <w:rsid w:val="00751422"/>
    <w:rsid w:val="0075242D"/>
    <w:rsid w:val="00765FB2"/>
    <w:rsid w:val="00775739"/>
    <w:rsid w:val="007A49B0"/>
    <w:rsid w:val="007A71D9"/>
    <w:rsid w:val="007C1C75"/>
    <w:rsid w:val="007E127A"/>
    <w:rsid w:val="007E681C"/>
    <w:rsid w:val="007E6E5D"/>
    <w:rsid w:val="007F6305"/>
    <w:rsid w:val="00805B24"/>
    <w:rsid w:val="0081339E"/>
    <w:rsid w:val="00833DD5"/>
    <w:rsid w:val="00842209"/>
    <w:rsid w:val="008432D6"/>
    <w:rsid w:val="008773D2"/>
    <w:rsid w:val="008778E1"/>
    <w:rsid w:val="00883456"/>
    <w:rsid w:val="008A4C02"/>
    <w:rsid w:val="008F6054"/>
    <w:rsid w:val="0091240E"/>
    <w:rsid w:val="0091441E"/>
    <w:rsid w:val="00930A4A"/>
    <w:rsid w:val="00934EBC"/>
    <w:rsid w:val="00954331"/>
    <w:rsid w:val="009766C9"/>
    <w:rsid w:val="009A13D3"/>
    <w:rsid w:val="009A7614"/>
    <w:rsid w:val="009B2419"/>
    <w:rsid w:val="009B4D1E"/>
    <w:rsid w:val="009C6424"/>
    <w:rsid w:val="009D204B"/>
    <w:rsid w:val="009D28DE"/>
    <w:rsid w:val="009E5326"/>
    <w:rsid w:val="009F1DB1"/>
    <w:rsid w:val="009F35E4"/>
    <w:rsid w:val="009F528D"/>
    <w:rsid w:val="00A07FE8"/>
    <w:rsid w:val="00A31FD4"/>
    <w:rsid w:val="00A33742"/>
    <w:rsid w:val="00A4271D"/>
    <w:rsid w:val="00A56594"/>
    <w:rsid w:val="00A61FD8"/>
    <w:rsid w:val="00A64168"/>
    <w:rsid w:val="00A80D8D"/>
    <w:rsid w:val="00A90118"/>
    <w:rsid w:val="00A93941"/>
    <w:rsid w:val="00AB2A76"/>
    <w:rsid w:val="00AD1AC4"/>
    <w:rsid w:val="00AD52EA"/>
    <w:rsid w:val="00AD749C"/>
    <w:rsid w:val="00AF3C27"/>
    <w:rsid w:val="00B02A72"/>
    <w:rsid w:val="00B26AEE"/>
    <w:rsid w:val="00B4041D"/>
    <w:rsid w:val="00B63DD6"/>
    <w:rsid w:val="00B77CDD"/>
    <w:rsid w:val="00BA6AE5"/>
    <w:rsid w:val="00BB613F"/>
    <w:rsid w:val="00BC1D09"/>
    <w:rsid w:val="00C025F6"/>
    <w:rsid w:val="00C1040E"/>
    <w:rsid w:val="00C11779"/>
    <w:rsid w:val="00C331F9"/>
    <w:rsid w:val="00C5320D"/>
    <w:rsid w:val="00C808E5"/>
    <w:rsid w:val="00C82E90"/>
    <w:rsid w:val="00C9339B"/>
    <w:rsid w:val="00C949CE"/>
    <w:rsid w:val="00CC692E"/>
    <w:rsid w:val="00CD1389"/>
    <w:rsid w:val="00CF7090"/>
    <w:rsid w:val="00D05CB9"/>
    <w:rsid w:val="00D25A13"/>
    <w:rsid w:val="00D25E8E"/>
    <w:rsid w:val="00D35FBC"/>
    <w:rsid w:val="00D41697"/>
    <w:rsid w:val="00D60852"/>
    <w:rsid w:val="00DA3FE8"/>
    <w:rsid w:val="00DB2EFA"/>
    <w:rsid w:val="00DC0979"/>
    <w:rsid w:val="00DC28A4"/>
    <w:rsid w:val="00DC5DD0"/>
    <w:rsid w:val="00DE1D56"/>
    <w:rsid w:val="00DE7D57"/>
    <w:rsid w:val="00E24A59"/>
    <w:rsid w:val="00E33827"/>
    <w:rsid w:val="00E3462B"/>
    <w:rsid w:val="00E408BD"/>
    <w:rsid w:val="00E428EC"/>
    <w:rsid w:val="00E43801"/>
    <w:rsid w:val="00E44F5D"/>
    <w:rsid w:val="00E4638E"/>
    <w:rsid w:val="00E56429"/>
    <w:rsid w:val="00E6465F"/>
    <w:rsid w:val="00E71D44"/>
    <w:rsid w:val="00E85FFD"/>
    <w:rsid w:val="00E865CE"/>
    <w:rsid w:val="00E90B5B"/>
    <w:rsid w:val="00EA3033"/>
    <w:rsid w:val="00EE0755"/>
    <w:rsid w:val="00EF30D6"/>
    <w:rsid w:val="00F005C5"/>
    <w:rsid w:val="00F11828"/>
    <w:rsid w:val="00F15BE5"/>
    <w:rsid w:val="00F952A6"/>
    <w:rsid w:val="00FA3338"/>
    <w:rsid w:val="00FA6579"/>
    <w:rsid w:val="00FB18D2"/>
    <w:rsid w:val="00FC1215"/>
    <w:rsid w:val="00FF2153"/>
    <w:rsid w:val="00FF3C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67E7"/>
  <w15:chartTrackingRefBased/>
  <w15:docId w15:val="{746D0675-C8DC-7042-A84A-2D04D1D26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454"/>
    <w:rPr>
      <w:kern w:val="0"/>
      <w14:ligatures w14:val="none"/>
    </w:rPr>
  </w:style>
  <w:style w:type="paragraph" w:styleId="Heading1">
    <w:name w:val="heading 1"/>
    <w:basedOn w:val="Normal"/>
    <w:next w:val="Normal"/>
    <w:link w:val="Heading1Char"/>
    <w:uiPriority w:val="9"/>
    <w:qFormat/>
    <w:rsid w:val="004D345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D345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D3454"/>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D3454"/>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D3454"/>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D3454"/>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D3454"/>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D3454"/>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D3454"/>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454"/>
    <w:rPr>
      <w:rFonts w:eastAsiaTheme="majorEastAsia" w:cstheme="majorBidi"/>
      <w:color w:val="272727" w:themeColor="text1" w:themeTint="D8"/>
    </w:rPr>
  </w:style>
  <w:style w:type="paragraph" w:styleId="Title">
    <w:name w:val="Title"/>
    <w:basedOn w:val="Normal"/>
    <w:next w:val="Normal"/>
    <w:link w:val="TitleChar"/>
    <w:uiPriority w:val="10"/>
    <w:qFormat/>
    <w:rsid w:val="004D345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D3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454"/>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D3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454"/>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4D3454"/>
    <w:rPr>
      <w:i/>
      <w:iCs/>
      <w:color w:val="404040" w:themeColor="text1" w:themeTint="BF"/>
    </w:rPr>
  </w:style>
  <w:style w:type="paragraph" w:styleId="ListParagraph">
    <w:name w:val="List Paragraph"/>
    <w:basedOn w:val="Normal"/>
    <w:uiPriority w:val="34"/>
    <w:qFormat/>
    <w:rsid w:val="004D3454"/>
    <w:pPr>
      <w:ind w:left="720"/>
      <w:contextualSpacing/>
    </w:pPr>
    <w:rPr>
      <w:kern w:val="2"/>
      <w14:ligatures w14:val="standardContextual"/>
    </w:rPr>
  </w:style>
  <w:style w:type="character" w:styleId="IntenseEmphasis">
    <w:name w:val="Intense Emphasis"/>
    <w:basedOn w:val="DefaultParagraphFont"/>
    <w:uiPriority w:val="21"/>
    <w:qFormat/>
    <w:rsid w:val="004D3454"/>
    <w:rPr>
      <w:i/>
      <w:iCs/>
      <w:color w:val="0F4761" w:themeColor="accent1" w:themeShade="BF"/>
    </w:rPr>
  </w:style>
  <w:style w:type="paragraph" w:styleId="IntenseQuote">
    <w:name w:val="Intense Quote"/>
    <w:basedOn w:val="Normal"/>
    <w:next w:val="Normal"/>
    <w:link w:val="IntenseQuoteChar"/>
    <w:uiPriority w:val="30"/>
    <w:qFormat/>
    <w:rsid w:val="004D3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D3454"/>
    <w:rPr>
      <w:i/>
      <w:iCs/>
      <w:color w:val="0F4761" w:themeColor="accent1" w:themeShade="BF"/>
    </w:rPr>
  </w:style>
  <w:style w:type="character" w:styleId="IntenseReference">
    <w:name w:val="Intense Reference"/>
    <w:basedOn w:val="DefaultParagraphFont"/>
    <w:uiPriority w:val="32"/>
    <w:qFormat/>
    <w:rsid w:val="004D3454"/>
    <w:rPr>
      <w:b/>
      <w:bCs/>
      <w:smallCaps/>
      <w:color w:val="0F4761" w:themeColor="accent1" w:themeShade="BF"/>
      <w:spacing w:val="5"/>
    </w:rPr>
  </w:style>
  <w:style w:type="character" w:styleId="Hyperlink">
    <w:name w:val="Hyperlink"/>
    <w:basedOn w:val="DefaultParagraphFont"/>
    <w:uiPriority w:val="99"/>
    <w:unhideWhenUsed/>
    <w:rsid w:val="005E6A3B"/>
    <w:rPr>
      <w:color w:val="0000FF"/>
      <w:u w:val="single"/>
    </w:rPr>
  </w:style>
  <w:style w:type="character" w:styleId="CommentReference">
    <w:name w:val="annotation reference"/>
    <w:basedOn w:val="DefaultParagraphFont"/>
    <w:uiPriority w:val="99"/>
    <w:semiHidden/>
    <w:unhideWhenUsed/>
    <w:rsid w:val="005E6A3B"/>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025F6"/>
    <w:rPr>
      <w:b/>
      <w:bCs/>
    </w:rPr>
  </w:style>
  <w:style w:type="character" w:customStyle="1" w:styleId="CommentSubjectChar">
    <w:name w:val="Comment Subject Char"/>
    <w:basedOn w:val="CommentTextChar"/>
    <w:link w:val="CommentSubject"/>
    <w:uiPriority w:val="99"/>
    <w:semiHidden/>
    <w:rsid w:val="00C025F6"/>
    <w:rPr>
      <w:b/>
      <w:bCs/>
      <w:kern w:val="0"/>
      <w:sz w:val="20"/>
      <w:szCs w:val="20"/>
      <w14:ligatures w14:val="none"/>
    </w:rPr>
  </w:style>
  <w:style w:type="paragraph" w:styleId="Revision">
    <w:name w:val="Revision"/>
    <w:hidden/>
    <w:uiPriority w:val="99"/>
    <w:semiHidden/>
    <w:rsid w:val="00C025F6"/>
    <w:rPr>
      <w:kern w:val="0"/>
      <w14:ligatures w14:val="none"/>
    </w:rPr>
  </w:style>
  <w:style w:type="character" w:styleId="UnresolvedMention">
    <w:name w:val="Unresolved Mention"/>
    <w:basedOn w:val="DefaultParagraphFont"/>
    <w:uiPriority w:val="99"/>
    <w:semiHidden/>
    <w:unhideWhenUsed/>
    <w:rsid w:val="00DE7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10</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Vineis</dc:creator>
  <cp:keywords/>
  <dc:description/>
  <cp:lastModifiedBy>Joseph Vineis</cp:lastModifiedBy>
  <cp:revision>4</cp:revision>
  <dcterms:created xsi:type="dcterms:W3CDTF">2026-08-13T14:42:00Z</dcterms:created>
  <dcterms:modified xsi:type="dcterms:W3CDTF">2026-08-13T14:47:00Z</dcterms:modified>
</cp:coreProperties>
</file>