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Elementos Financieros Bursatiles Relacionados</w:t>
      </w:r>
    </w:p>
    <w:p>
      <w:r>
        <w:t>Glosario aplicado al sistema y marco conceptual para interpretacion de resultados.</w:t>
      </w:r>
    </w:p>
    <w:p>
      <w:r>
        <w:t>Fecha de elaboracion: 2026-02-09</w:t>
      </w:r>
    </w:p>
    <w:p>
      <w:r>
        <w:t>Sistema: EstrategiaCombinadaRSI</w:t>
      </w:r>
    </w:p>
    <w:p>
      <w:pPr>
        <w:pStyle w:val="Heading1"/>
      </w:pPr>
      <w:r>
        <w:t>1. Conceptos de mercado</w:t>
      </w:r>
    </w:p>
    <w:p>
      <w:pPr>
        <w:pStyle w:val="ListBullet"/>
      </w:pPr>
      <w:r>
        <w:t>Ticker: identificador unico del activo en mercado.</w:t>
      </w:r>
    </w:p>
    <w:p>
      <w:pPr>
        <w:pStyle w:val="ListBullet"/>
      </w:pPr>
      <w:r>
        <w:t>OHLC: Open, High, Low, Close de cada sesion.</w:t>
      </w:r>
    </w:p>
    <w:p>
      <w:pPr>
        <w:pStyle w:val="ListBullet"/>
      </w:pPr>
      <w:r>
        <w:t>Volumen: numero de titulos negociados en una sesion.</w:t>
      </w:r>
    </w:p>
    <w:p>
      <w:pPr>
        <w:pStyle w:val="ListBullet"/>
      </w:pPr>
      <w:r>
        <w:t>Dividendos: distribucion de caja por accion al accionista.</w:t>
      </w:r>
    </w:p>
    <w:p>
      <w:pPr>
        <w:pStyle w:val="ListBullet"/>
      </w:pPr>
      <w:r>
        <w:t>Split: ajuste de numero de acciones y precio nominal por titulo.</w:t>
      </w:r>
    </w:p>
    <w:p>
      <w:pPr>
        <w:pStyle w:val="ListBullet"/>
      </w:pPr>
      <w:r>
        <w:t>Benchmark: activo de referencia para comparar rendimiento (ej. ^IBEX).</w:t>
      </w:r>
    </w:p>
    <w:p>
      <w:pPr>
        <w:pStyle w:val="Heading1"/>
      </w:pPr>
      <w:r>
        <w:t>2. Indicadores tecnicos usados en el proyecto</w:t>
      </w:r>
    </w:p>
    <w:p>
      <w:pPr>
        <w:pStyle w:val="ListBullet"/>
      </w:pPr>
      <w:r>
        <w:t>SMA (Simple Moving Average): media movil simple; base de la estrategia de Tendencia.</w:t>
      </w:r>
    </w:p>
    <w:p>
      <w:pPr>
        <w:pStyle w:val="ListBullet"/>
      </w:pPr>
      <w:r>
        <w:t>Bandas de Bollinger: SMA +/- desviacion estandar; usadas en mean reversion.</w:t>
      </w:r>
    </w:p>
    <w:p>
      <w:pPr>
        <w:pStyle w:val="ListBullet"/>
      </w:pPr>
      <w:r>
        <w:t>RSI (Relative Strength Index): oscilador de momentum para zonas de sobrecompra/sobreventa.</w:t>
      </w:r>
    </w:p>
    <w:p>
      <w:pPr>
        <w:pStyle w:val="ListBullet"/>
      </w:pPr>
      <w:r>
        <w:t>MACD: diferencia de EMAs y su linea de senal para detectar cruces de tendencia.</w:t>
      </w:r>
    </w:p>
    <w:p>
      <w:pPr>
        <w:pStyle w:val="ListBullet"/>
      </w:pPr>
      <w:r>
        <w:t>ATR: rango verdadero medio; estima volatilidad operativa para stops y slippage.</w:t>
      </w:r>
    </w:p>
    <w:p>
      <w:pPr>
        <w:pStyle w:val="ListBullet"/>
      </w:pPr>
      <w:r>
        <w:t>ADX: intensidad de tendencia (trend/lateral/neutral).</w:t>
      </w:r>
    </w:p>
    <w:p>
      <w:pPr>
        <w:pStyle w:val="ListBullet"/>
      </w:pPr>
      <w:r>
        <w:t>RVOL: volumen relativo frente a media movil de volumen.</w:t>
      </w:r>
    </w:p>
    <w:p>
      <w:pPr>
        <w:pStyle w:val="Heading1"/>
      </w:pPr>
      <w:r>
        <w:t>3. Metricas de rendimiento y riesgo</w:t>
      </w:r>
    </w:p>
    <w:p>
      <w:pPr>
        <w:pStyle w:val="ListBullet"/>
      </w:pPr>
      <w:r>
        <w:t>Retorno total: variacion acumulada del capital.</w:t>
      </w:r>
    </w:p>
    <w:p>
      <w:pPr>
        <w:pStyle w:val="ListBullet"/>
      </w:pPr>
      <w:r>
        <w:t>CAGR: tasa de crecimiento anual compuesta.</w:t>
      </w:r>
    </w:p>
    <w:p>
      <w:pPr>
        <w:pStyle w:val="ListBullet"/>
      </w:pPr>
      <w:r>
        <w:t>Volatilidad anualizada: dispersion anual esperada de retornos.</w:t>
      </w:r>
    </w:p>
    <w:p>
      <w:pPr>
        <w:pStyle w:val="ListBullet"/>
      </w:pPr>
      <w:r>
        <w:t>Sharpe: retorno ajustado por riesgo total.</w:t>
      </w:r>
    </w:p>
    <w:p>
      <w:pPr>
        <w:pStyle w:val="ListBullet"/>
      </w:pPr>
      <w:r>
        <w:t>Sortino: retorno ajustado por riesgo bajista.</w:t>
      </w:r>
    </w:p>
    <w:p>
      <w:pPr>
        <w:pStyle w:val="ListBullet"/>
      </w:pPr>
      <w:r>
        <w:t>Calmar: retorno ajustado por maximo drawdown.</w:t>
      </w:r>
    </w:p>
    <w:p>
      <w:pPr>
        <w:pStyle w:val="ListBullet"/>
      </w:pPr>
      <w:r>
        <w:t>Max Drawdown: peor caida desde maximo historico de equity.</w:t>
      </w:r>
    </w:p>
    <w:p>
      <w:pPr>
        <w:pStyle w:val="ListBullet"/>
      </w:pPr>
      <w:r>
        <w:t>Ulcer Index: profundidad y persistencia de drawdowns.</w:t>
      </w:r>
    </w:p>
    <w:p>
      <w:pPr>
        <w:pStyle w:val="ListBullet"/>
      </w:pPr>
      <w:r>
        <w:t>VaR/CVaR: perdida extrema esperada bajo nivel de confianza.</w:t>
      </w:r>
    </w:p>
    <w:p>
      <w:pPr>
        <w:pStyle w:val="ListBullet"/>
      </w:pPr>
      <w:r>
        <w:t>Win Rate, Profit Factor, Expectancy: calidad estadistica de ejecucion de trades.</w:t>
      </w:r>
    </w:p>
    <w:p>
      <w:pPr>
        <w:pStyle w:val="Heading1"/>
      </w:pPr>
      <w:r>
        <w:t>4. Gestion de posicion y control de riesgo</w:t>
      </w:r>
    </w:p>
    <w:p>
      <w:pPr>
        <w:pStyle w:val="ListBullet"/>
      </w:pPr>
      <w:r>
        <w:t>Entrada: precio teorico de activacion de operacion.</w:t>
      </w:r>
    </w:p>
    <w:p>
      <w:pPr>
        <w:pStyle w:val="ListBullet"/>
      </w:pPr>
      <w:r>
        <w:t>Stop inicial: nivel de invalidacion de la hipotesis.</w:t>
      </w:r>
    </w:p>
    <w:p>
      <w:pPr>
        <w:pStyle w:val="ListBullet"/>
      </w:pPr>
      <w:r>
        <w:t>Trailing stop: stop dinamico para proteger beneficios.</w:t>
      </w:r>
    </w:p>
    <w:p>
      <w:pPr>
        <w:pStyle w:val="ListBullet"/>
      </w:pPr>
      <w:r>
        <w:t>T1/T2: objetivos de beneficio basados en multiples de riesgo (R).</w:t>
      </w:r>
    </w:p>
    <w:p>
      <w:pPr>
        <w:pStyle w:val="ListBullet"/>
      </w:pPr>
      <w:r>
        <w:t>Distancia al stop: base para asignacion por paridad de riesgo.</w:t>
      </w:r>
    </w:p>
    <w:p>
      <w:pPr>
        <w:pStyle w:val="ListBullet"/>
      </w:pPr>
      <w:r>
        <w:t>Correlacion: medida de dependencia entre activos para evitar concentracion.</w:t>
      </w:r>
    </w:p>
    <w:p>
      <w:pPr>
        <w:pStyle w:val="ListBullet"/>
      </w:pPr>
      <w:r>
        <w:t>Cap por activo/sector: limite maximo de peso en cartera.</w:t>
      </w:r>
    </w:p>
    <w:p>
      <w:pPr>
        <w:pStyle w:val="Heading1"/>
      </w:pPr>
      <w:r>
        <w:t>5. Conceptos de validacion cuantitativa</w:t>
      </w:r>
    </w:p>
    <w:p>
      <w:pPr>
        <w:pStyle w:val="ListBullet"/>
      </w:pPr>
      <w:r>
        <w:t>In-sample (IS): tramo usado para calibrar parametros.</w:t>
      </w:r>
    </w:p>
    <w:p>
      <w:pPr>
        <w:pStyle w:val="ListBullet"/>
      </w:pPr>
      <w:r>
        <w:t>Out-of-sample (OOS): tramo usado para validar generalizacion.</w:t>
      </w:r>
    </w:p>
    <w:p>
      <w:pPr>
        <w:pStyle w:val="ListBullet"/>
      </w:pPr>
      <w:r>
        <w:t>Walk-forward: optimizacion y validacion en ventanas temporales moviles.</w:t>
      </w:r>
    </w:p>
    <w:p>
      <w:pPr>
        <w:pStyle w:val="ListBullet"/>
      </w:pPr>
      <w:r>
        <w:t>Sensibilidad de parametros: estabilidad del resultado ante cambios de ventanas/umbrales.</w:t>
      </w:r>
    </w:p>
    <w:p>
      <w:pPr>
        <w:pStyle w:val="ListBullet"/>
      </w:pPr>
      <w:r>
        <w:t>Stress test: prueba de robustez bajo escenarios adversos (costes y bootstrap).</w:t>
      </w:r>
    </w:p>
    <w:p>
      <w:pPr>
        <w:pStyle w:val="ListBullet"/>
      </w:pPr>
      <w:r>
        <w:t>Sobreajuste (overfitting): ajuste excesivo al pasado con mala capacidad predictiva futura.</w:t>
      </w:r>
    </w:p>
    <w:p>
      <w:pPr>
        <w:pStyle w:val="Heading1"/>
      </w:pPr>
      <w:r>
        <w:t>6. Relacion directa con artefactos del proyecto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Elemento financiero</w:t>
            </w:r>
          </w:p>
        </w:tc>
        <w:tc>
          <w:tcPr>
            <w:tcW w:type="dxa" w:w="4320"/>
          </w:tcPr>
          <w:p>
            <w:r>
              <w:t>Donde aparece en el proyecto</w:t>
            </w:r>
          </w:p>
        </w:tc>
      </w:tr>
      <w:tr>
        <w:tc>
          <w:tcPr>
            <w:tcW w:type="dxa" w:w="4320"/>
          </w:tcPr>
          <w:p>
            <w:r>
              <w:t>CAGR, Sharpe, Volatilidad, Max Drawdown</w:t>
            </w:r>
          </w:p>
        </w:tc>
        <w:tc>
          <w:tcPr>
            <w:tcW w:type="dxa" w:w="4320"/>
          </w:tcPr>
          <w:p>
            <w:r>
              <w:t>INFORME_DETALLADO_METRICAS_*, INFORME_INDIVIDUAL_*, RESULTADOS_*</w:t>
            </w:r>
          </w:p>
        </w:tc>
      </w:tr>
      <w:tr>
        <w:tc>
          <w:tcPr>
            <w:tcW w:type="dxa" w:w="4320"/>
          </w:tcPr>
          <w:p>
            <w:r>
              <w:t>Sortino, Calmar, Ulcer, VaR/CVaR</w:t>
            </w:r>
          </w:p>
        </w:tc>
        <w:tc>
          <w:tcPr>
            <w:tcW w:type="dxa" w:w="4320"/>
          </w:tcPr>
          <w:p>
            <w:r>
              <w:t>INFORME_DETALLADO_METRICAS_*</w:t>
            </w:r>
          </w:p>
        </w:tc>
      </w:tr>
      <w:tr>
        <w:tc>
          <w:tcPr>
            <w:tcW w:type="dxa" w:w="4320"/>
          </w:tcPr>
          <w:p>
            <w:r>
              <w:t>RSI, MACD, Bollinger, SMA</w:t>
            </w:r>
          </w:p>
        </w:tc>
        <w:tc>
          <w:tcPr>
            <w:tcW w:type="dxa" w:w="4320"/>
          </w:tcPr>
          <w:p>
            <w:r>
              <w:t>DASHBOARD_INDICADORES_TECNICOS_*, df_viz, reportes individuales</w:t>
            </w:r>
          </w:p>
        </w:tc>
      </w:tr>
      <w:tr>
        <w:tc>
          <w:tcPr>
            <w:tcW w:type="dxa" w:w="4320"/>
          </w:tcPr>
          <w:p>
            <w:r>
              <w:t>Stress y Bootstrap</w:t>
            </w:r>
          </w:p>
        </w:tc>
        <w:tc>
          <w:tcPr>
            <w:tcW w:type="dxa" w:w="4320"/>
          </w:tcPr>
          <w:p>
            <w:r>
              <w:t>STRESS_COSTES_*, STRESS_BOOTSTRAP_*</w:t>
            </w:r>
          </w:p>
        </w:tc>
      </w:tr>
      <w:tr>
        <w:tc>
          <w:tcPr>
            <w:tcW w:type="dxa" w:w="4320"/>
          </w:tcPr>
          <w:p>
            <w:r>
              <w:t>Walk-forward OOS</w:t>
            </w:r>
          </w:p>
        </w:tc>
        <w:tc>
          <w:tcPr>
            <w:tcW w:type="dxa" w:w="4320"/>
          </w:tcPr>
          <w:p>
            <w:r>
              <w:t>WALK_FORWARD_OOS_*, WALK_FORWARD_RESUMEN_*</w:t>
            </w:r>
          </w:p>
        </w:tc>
      </w:tr>
      <w:tr>
        <w:tc>
          <w:tcPr>
            <w:tcW w:type="dxa" w:w="4320"/>
          </w:tcPr>
          <w:p>
            <w:r>
              <w:t>Correlacion y asignacion por riesgo</w:t>
            </w:r>
          </w:p>
        </w:tc>
        <w:tc>
          <w:tcPr>
            <w:tcW w:type="dxa" w:w="4320"/>
          </w:tcPr>
          <w:p>
            <w:r>
              <w:t>Asignacion_por_riesgo_enriquecido_*, informes de perfiles</w:t>
            </w:r>
          </w:p>
        </w:tc>
      </w:tr>
      <w:tr>
        <w:tc>
          <w:tcPr>
            <w:tcW w:type="dxa" w:w="4320"/>
          </w:tcPr>
          <w:p>
            <w:r>
              <w:t>Senales de entrada/salida</w:t>
            </w:r>
          </w:p>
        </w:tc>
        <w:tc>
          <w:tcPr>
            <w:tcW w:type="dxa" w:w="4320"/>
          </w:tcPr>
          <w:p>
            <w:r>
              <w:t>SENIALES_*, INFORME_CAMBIOS_ESTADO_*, journal_operaciones_hasta_*</w:t>
            </w:r>
          </w:p>
        </w:tc>
      </w:tr>
    </w:tbl>
    <w:p>
      <w:pPr>
        <w:pStyle w:val="Heading1"/>
      </w:pPr>
      <w:r>
        <w:t>7. Nota de interpretacion</w:t>
      </w:r>
    </w:p>
    <w:p>
      <w:pPr>
        <w:pStyle w:val="ListBullet"/>
      </w:pPr>
      <w:r>
        <w:t>Estos elementos soportan analisis tecnico-cuantitativo, no constituyen asesoramiento financiero.</w:t>
      </w:r>
    </w:p>
    <w:p>
      <w:pPr>
        <w:pStyle w:val="ListBullet"/>
      </w:pPr>
      <w:r>
        <w:t>Toda decision de inversion debe considerar perfil, horizonte, liquidez y riesgos propios.</w:t>
      </w:r>
    </w:p>
    <w:p>
      <w:pPr>
        <w:pStyle w:val="ListBullet"/>
      </w:pPr>
      <w:r>
        <w:t>Los resultados historicos del backtest no garantizan resultados futuros.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