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contributed to hardware part acquisition, component bench testing, and real-world application domain research. Working in tandem with Joseph Alex, I spent time sourcing electronic parts and testing physical LED pin alignments on breadboards. I dedicated the second half of the project timeline to researching practical applications of the Chinese Remainder Theorem beyond traffic light synchronization. In collaboration with the report writing team, I documented how CRT modular timing principles apply to urban intelligent transportation systems (ITS), fiber-optic telecommunications channel multiplexing, and parallel computing architectures.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