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0B2545"/>
          <w:sz w:val="36"/>
        </w:rPr>
        <w:t>Chương 1: Từ Monolithic đến Microservices và DDD</w:t>
      </w:r>
    </w:p>
    <w:p>
      <w:pPr/>
      <w:r>
        <w:t>Bản cập nhật theo code và kết quả kiểm thử ngày 31/05/2026. Phạm vi triển khai: web ShopSphere, không triển khai mobile app.</w:t>
      </w:r>
    </w:p>
    <w:p>
      <w:pPr>
        <w:spacing w:after="120" w:line="264" w:lineRule="auto"/>
      </w:pPr>
      <w:r>
        <w:t>Tài liệu này được tách riêng từ báo cáo gốc và cập nhật cho Chương 1. Tất cả đề mục/caption của chương được giữ lại hoặc sửa tên nhẹ khi nội dung cũ không còn khớp code hiện tại.</w:t>
      </w:r>
    </w:p>
    <w:p>
      <w:pPr>
        <w:pStyle w:val="Heading2"/>
      </w:pPr>
      <w:r>
        <w:t>1.1 Bối cảnh chuyển dịch từ Monolithic sang Microservices</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2"/>
      </w:pPr>
      <w:r>
        <w:t>1.2 Kiến trúc Monolithic</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1.2.1 Khái niệm</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Hình 1.1. Kiến trúc Monolithic</w:t>
      </w:r>
    </w:p>
    <w:p>
      <w:pPr>
        <w:jc w:val="center"/>
      </w:pPr>
      <w:r>
        <w:drawing>
          <wp:inline xmlns:a="http://schemas.openxmlformats.org/drawingml/2006/main" xmlns:pic="http://schemas.openxmlformats.org/drawingml/2006/picture">
            <wp:extent cx="5669280" cy="2456688"/>
            <wp:docPr id="1" name="Picture 1"/>
            <wp:cNvGraphicFramePr>
              <a:graphicFrameLocks noChangeAspect="1"/>
            </wp:cNvGraphicFramePr>
            <a:graphic>
              <a:graphicData uri="http://schemas.openxmlformats.org/drawingml/2006/picture">
                <pic:pic>
                  <pic:nvPicPr>
                    <pic:cNvPr id="0" name="placeholder_H_nh_1.1._Ki_n_tr_c_Monolithic.png"/>
                    <pic:cNvPicPr/>
                  </pic:nvPicPr>
                  <pic:blipFill>
                    <a:blip r:embed="rId9"/>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1.2.2 Cấu trúc điển hình của hệ thống Monolithic</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Hình 1.2. Sơ đồ tổ chức phân lớp (Layered Architecture)</w:t>
      </w:r>
    </w:p>
    <w:p>
      <w:pPr>
        <w:jc w:val="center"/>
      </w:pPr>
      <w:r>
        <w:drawing>
          <wp:inline xmlns:a="http://schemas.openxmlformats.org/drawingml/2006/main" xmlns:pic="http://schemas.openxmlformats.org/drawingml/2006/picture">
            <wp:extent cx="5669280" cy="2456688"/>
            <wp:docPr id="2" name="Picture 2"/>
            <wp:cNvGraphicFramePr>
              <a:graphicFrameLocks noChangeAspect="1"/>
            </wp:cNvGraphicFramePr>
            <a:graphic>
              <a:graphicData uri="http://schemas.openxmlformats.org/drawingml/2006/picture">
                <pic:pic>
                  <pic:nvPicPr>
                    <pic:cNvPr id="0" name="placeholder_H_nh_1.2._S_t_ch_c_ph_n_l_p_Layered_Architecture_.png"/>
                    <pic:cNvPicPr/>
                  </pic:nvPicPr>
                  <pic:blipFill>
                    <a:blip r:embed="rId10"/>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1.2.3 Ví dụ Monolithic trong hệ thống e-commerce</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Hình 1.3. Minh họa cấu trúc các phân hệ chức năng trong một hệ thống Thương mại điện tử Monolithic</w:t>
      </w:r>
    </w:p>
    <w:p>
      <w:pPr>
        <w:jc w:val="center"/>
      </w:pPr>
      <w:r>
        <w:drawing>
          <wp:inline xmlns:a="http://schemas.openxmlformats.org/drawingml/2006/main" xmlns:pic="http://schemas.openxmlformats.org/drawingml/2006/picture">
            <wp:extent cx="5669280" cy="2456688"/>
            <wp:docPr id="3" name="Picture 3"/>
            <wp:cNvGraphicFramePr>
              <a:graphicFrameLocks noChangeAspect="1"/>
            </wp:cNvGraphicFramePr>
            <a:graphic>
              <a:graphicData uri="http://schemas.openxmlformats.org/drawingml/2006/picture">
                <pic:pic>
                  <pic:nvPicPr>
                    <pic:cNvPr id="0" name="placeholder_H_nh_1.3._Minh_h_a_c_u_tr_c_c_c_ph_n_h_ch_c_n_ng_trong_m_t_h_th_ng_Th_ng_m_i_i_n.png"/>
                    <pic:cNvPicPr/>
                  </pic:nvPicPr>
                  <pic:blipFill>
                    <a:blip r:embed="rId11"/>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1.2.4 Ưu điểm và hạn chế của Monolithic</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Hình 1.4. Các hạn chế về mặt kỹ thuật của kiến trúc Monolithic</w:t>
      </w:r>
    </w:p>
    <w:p>
      <w:pPr>
        <w:jc w:val="center"/>
      </w:pPr>
      <w:r>
        <w:drawing>
          <wp:inline xmlns:a="http://schemas.openxmlformats.org/drawingml/2006/main" xmlns:pic="http://schemas.openxmlformats.org/drawingml/2006/picture">
            <wp:extent cx="5669280" cy="2456688"/>
            <wp:docPr id="4" name="Picture 4"/>
            <wp:cNvGraphicFramePr>
              <a:graphicFrameLocks noChangeAspect="1"/>
            </wp:cNvGraphicFramePr>
            <a:graphic>
              <a:graphicData uri="http://schemas.openxmlformats.org/drawingml/2006/picture">
                <pic:pic>
                  <pic:nvPicPr>
                    <pic:cNvPr id="0" name="placeholder_H_nh_1.4._C_c_h_n_ch_v_m_t_k_thu_t_c_a_ki_n_tr_c_Monolithic.png"/>
                    <pic:cNvPicPr/>
                  </pic:nvPicPr>
                  <pic:blipFill>
                    <a:blip r:embed="rId12"/>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1.2.5 Khi nào nên dùng Monolithic</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2"/>
      </w:pPr>
      <w:r>
        <w:t>1.3 Kiến trúc Microservices</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1.3.1 Khái niệm</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Hình 1.5. Kiến trúc Microservice</w:t>
      </w:r>
    </w:p>
    <w:p>
      <w:pPr>
        <w:jc w:val="center"/>
      </w:pPr>
      <w:r>
        <w:drawing>
          <wp:inline xmlns:a="http://schemas.openxmlformats.org/drawingml/2006/main" xmlns:pic="http://schemas.openxmlformats.org/drawingml/2006/picture">
            <wp:extent cx="5669280" cy="2456688"/>
            <wp:docPr id="5" name="Picture 5"/>
            <wp:cNvGraphicFramePr>
              <a:graphicFrameLocks noChangeAspect="1"/>
            </wp:cNvGraphicFramePr>
            <a:graphic>
              <a:graphicData uri="http://schemas.openxmlformats.org/drawingml/2006/picture">
                <pic:pic>
                  <pic:nvPicPr>
                    <pic:cNvPr id="0" name="placeholder_H_nh_1.5._Ki_n_tr_c_Microservice.png"/>
                    <pic:cNvPicPr/>
                  </pic:nvPicPr>
                  <pic:blipFill>
                    <a:blip r:embed="rId13"/>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1.3.2 Đặc điểm cốt lõi của Microservices</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1.3.3 Ưu điểm và thách thức</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2"/>
      </w:pPr>
      <w:r>
        <w:t>1.4 So sánh Monolithic - Microservices</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Hình 1.6. Hình ảnh so sánh giữa kiến trúc Monolithic và Microservices</w:t>
      </w:r>
    </w:p>
    <w:p>
      <w:pPr>
        <w:jc w:val="center"/>
      </w:pPr>
      <w:r>
        <w:drawing>
          <wp:inline xmlns:a="http://schemas.openxmlformats.org/drawingml/2006/main" xmlns:pic="http://schemas.openxmlformats.org/drawingml/2006/picture">
            <wp:extent cx="5669280" cy="2456688"/>
            <wp:docPr id="6" name="Picture 6"/>
            <wp:cNvGraphicFramePr>
              <a:graphicFrameLocks noChangeAspect="1"/>
            </wp:cNvGraphicFramePr>
            <a:graphic>
              <a:graphicData uri="http://schemas.openxmlformats.org/drawingml/2006/picture">
                <pic:pic>
                  <pic:nvPicPr>
                    <pic:cNvPr id="0" name="placeholder_H_nh_1.6._H_nh_nh_so_s_nh_gi_a_ki_n_tr_c_Monolithic_v_Microservices.png"/>
                    <pic:cNvPicPr/>
                  </pic:nvPicPr>
                  <pic:blipFill>
                    <a:blip r:embed="rId14"/>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4"/>
      </w:pPr>
      <w:r>
        <w:t>Hình 1.1 minh họa sự khác biệt trực quan giữa hai cách tổ chức hệ thống. Ở phía Monolithic, các phân hệ nghiệp vụ cùng tồn tại trong một khối ứng dụng và sử dụng chung cơ sở dữ liệu. Ở phía Microservices, mỗi service có trách nhiệm riêng, sở hữu dữ liệu riêng và giao tiếp với service khác thông qua API hoặc sự kiện. Đây là khác biệt cốt lõi về ranh giới triển khai, ranh giới dữ liệu và ranh giới trách nhiệm.</w:t>
      </w:r>
    </w:p>
    <w:p>
      <w:pPr>
        <w:jc w:val="center"/>
      </w:pPr>
      <w:r>
        <w:drawing>
          <wp:inline xmlns:a="http://schemas.openxmlformats.org/drawingml/2006/main" xmlns:pic="http://schemas.openxmlformats.org/drawingml/2006/picture">
            <wp:extent cx="5669280" cy="2456688"/>
            <wp:docPr id="7" name="Picture 7"/>
            <wp:cNvGraphicFramePr>
              <a:graphicFrameLocks noChangeAspect="1"/>
            </wp:cNvGraphicFramePr>
            <a:graphic>
              <a:graphicData uri="http://schemas.openxmlformats.org/drawingml/2006/picture">
                <pic:pic>
                  <pic:nvPicPr>
                    <pic:cNvPr id="0" name="placeholder_H_nh_1.1_minh_h_a_s_kh_c_bi_t_tr_c_quan_gi_a_hai_c_ch_t_ch_c_h_th_ng._ph_a_Monol.png"/>
                    <pic:cNvPicPr/>
                  </pic:nvPicPr>
                  <pic:blipFill>
                    <a:blip r:embed="rId15"/>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4"/>
      </w:pPr>
      <w:r>
        <w:t>Bảng 1.1. Bảng so sánh các tiêu chí khác biệt giữa kiến trúc Monolithic và Microservices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4"/>
      </w:pPr>
      <w:r>
        <w:t>Bảng 1.1 cho thấy Microservices không đơn thuần là phiên bản “nâng cấp” tuyệt đối của Monolithic. Microservices đánh đổi sự đơn giản ban đầu để lấy khả năng mở rộng, triển khai độc lập và tổ chức nhóm tốt hơn. Ngược lại, Monolithic đánh đổi tính linh hoạt dài hạn để lấy tốc độ phát triển và tính nhất quán dữ liệu trong giai đoạn đầu. Vì vậy, quyết định kiến trúc cần dựa trên quy mô hệ thống, mức độ ổn định nghiệp vụ, năng lực DevOps và số lượng nhóm phát triển.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2"/>
      </w:pPr>
      <w:r>
        <w:t>1.5 Các Big Tech sử dụng Microservices và quá trình phát triển</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1.5.1 Amazon: từ khối thương mại điện tử lớn đến tư duy service ownership</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1.5.2 Netflix: mở rộng toàn cầu, tự động hóa và thiết kế chống lỗi</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1.5.3 Uber: từ monolith ban đầu đến kiến trúc domain-oriented</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1.5.4 Tổng hợp bài học từ Big Tech</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Bảng 1.2. Tổng hợp cách Big Tech áp dụng và phát triển Microservices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2"/>
      </w:pPr>
      <w:r>
        <w:t>1.6 Thiết kế Microservices không phải là Monolithic bị chia nhỏ</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Hình 1.7. Khác biệt tư duy thiết kế giữa Monolithic và Microservices</w:t>
      </w:r>
    </w:p>
    <w:p>
      <w:pPr>
        <w:jc w:val="center"/>
      </w:pPr>
      <w:r>
        <w:drawing>
          <wp:inline xmlns:a="http://schemas.openxmlformats.org/drawingml/2006/main" xmlns:pic="http://schemas.openxmlformats.org/drawingml/2006/picture">
            <wp:extent cx="5669280" cy="2456688"/>
            <wp:docPr id="8" name="Picture 8"/>
            <wp:cNvGraphicFramePr>
              <a:graphicFrameLocks noChangeAspect="1"/>
            </wp:cNvGraphicFramePr>
            <a:graphic>
              <a:graphicData uri="http://schemas.openxmlformats.org/drawingml/2006/picture">
                <pic:pic>
                  <pic:nvPicPr>
                    <pic:cNvPr id="0" name="placeholder_H_nh_1.7._Kh_c_bi_t_t_duy_thi_t_k_gi_a_Monolithic_v_Microservices.png"/>
                    <pic:cNvPicPr/>
                  </pic:nvPicPr>
                  <pic:blipFill>
                    <a:blip r:embed="rId16"/>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1.6.1 Các dấu hiệu của thiết kế Microservices sai</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1.6.2 Nguyên tắc chuyển đổi đúng</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2"/>
      </w:pPr>
      <w:r>
        <w:t>1.7 Domain-Driven Design làm nền tảng phân rã</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Bảng 1.3. Ánh xạ khái niệm DDD sang thiết kế Microservices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2"/>
      </w:pPr>
      <w:r>
        <w:t>1.8 Case Study Healthcare: phân rã hệ thống y tế</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Hình 1.8. Phân rã hệ thống Healthcare thành các bounded context và microservice</w:t>
      </w:r>
    </w:p>
    <w:p>
      <w:pPr>
        <w:jc w:val="center"/>
      </w:pPr>
      <w:r>
        <w:drawing>
          <wp:inline xmlns:a="http://schemas.openxmlformats.org/drawingml/2006/main" xmlns:pic="http://schemas.openxmlformats.org/drawingml/2006/picture">
            <wp:extent cx="5669280" cy="2456688"/>
            <wp:docPr id="9" name="Picture 9"/>
            <wp:cNvGraphicFramePr>
              <a:graphicFrameLocks noChangeAspect="1"/>
            </wp:cNvGraphicFramePr>
            <a:graphic>
              <a:graphicData uri="http://schemas.openxmlformats.org/drawingml/2006/picture">
                <pic:pic>
                  <pic:nvPicPr>
                    <pic:cNvPr id="0" name="placeholder_H_nh_1.8._Ph_n_r_h_th_ng_Healthcare_th_nh_c_c_bounded_context_v_microservice.png"/>
                    <pic:cNvPicPr/>
                  </pic:nvPicPr>
                  <pic:blipFill>
                    <a:blip r:embed="rId17"/>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1.8.1 Mô tả bài toán</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1.8.2 Xác định Domain và Bounded Context</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1.8.3 Phân rã thành Microservices</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Bảng 1.4. Phân rã Healthcare thành các microservice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1.8.4 Luồng nghiệp vụ đặt lịch khám</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2"/>
      </w:pPr>
      <w:r>
        <w:t>1.9 Tạo services với Django và các lớp minh họa</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Hình 1.9. Mô hình tạo các service Healthcare với Django</w:t>
      </w:r>
    </w:p>
    <w:p>
      <w:pPr>
        <w:jc w:val="center"/>
      </w:pPr>
      <w:r>
        <w:drawing>
          <wp:inline xmlns:a="http://schemas.openxmlformats.org/drawingml/2006/main" xmlns:pic="http://schemas.openxmlformats.org/drawingml/2006/picture">
            <wp:extent cx="5669280" cy="2456688"/>
            <wp:docPr id="10" name="Picture 10"/>
            <wp:cNvGraphicFramePr>
              <a:graphicFrameLocks noChangeAspect="1"/>
            </wp:cNvGraphicFramePr>
            <a:graphic>
              <a:graphicData uri="http://schemas.openxmlformats.org/drawingml/2006/picture">
                <pic:pic>
                  <pic:nvPicPr>
                    <pic:cNvPr id="0" name="placeholder_H_nh_1.9._M_h_nh_t_o_c_c_service_Healthcare_v_i_Django.png"/>
                    <pic:cNvPicPr/>
                  </pic:nvPicPr>
                  <pic:blipFill>
                    <a:blip r:embed="rId18"/>
                    <a:stretch>
                      <a:fillRect/>
                    </a:stretch>
                  </pic:blipFill>
                  <pic:spPr>
                    <a:xfrm>
                      <a:off x="0" y="0"/>
                      <a:ext cx="5669280" cy="2456688"/>
                    </a:xfrm>
                    <a:prstGeom prst="rect"/>
                  </pic:spPr>
                </pic:pic>
              </a:graphicData>
            </a:graphic>
          </wp:inline>
        </w:drawing>
      </w:r>
    </w:p>
    <w:p>
      <w:pPr>
        <w:spacing w:after="120" w:line="264" w:lineRule="auto"/>
      </w:pPr>
      <w:r>
        <w:t>Hình minh họa được cập nhật để giải thích đúng ranh giới service và luồng xử lý trong hệ thống hiện tại.</w:t>
      </w:r>
    </w:p>
    <w:p>
      <w:pPr>
        <w:pStyle w:val="Heading3"/>
      </w:pPr>
      <w:r>
        <w:t>1.9.1 Patient Service - models.py</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1.9.2 Doctor Service - models.py</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1.9.3 Appointment Service - models.py</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1.9.4 API minh họa cho từng service</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Bảng 1.5. API minh họa cho hệ thống Healthcare Microservices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1.9.5 Gợi ý cấu trúc thư mục Django theo service</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2"/>
      </w:pPr>
      <w:r>
        <w:t>1.10 Bổ sung phân tích thiết kế và kiểm chứng kiến trúc</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1.10.1 Thuộc tính chất lượng cần đánh giá khi chọn kiến trúc</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Bảng 1.6. Đánh giá thuộc tính chất lượng giữa Monolithic và Microservices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1.10.2 Lộ trình chuyển đổi từ Monolithic sang Microservices</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1.10.3 Các anti-pattern thường gặp trong Microservices</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Bảng 1.7. Anti-pattern và biện pháp phòng tránh khi thiết kế Microservices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1.10.4 Gợi ý mô hình hóa trong Visual Paradigm</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Bảng 1.8. Chuyển nội dung chương 1 thành biểu đồ trong Visual Paradigm</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3"/>
      </w:pPr>
      <w:r>
        <w:t>1.10.5 Bổ sung serializer và view minh họa cho Django</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3"/>
      </w:pPr>
      <w:r>
        <w:t>1.10.6 Kiểm thử kiến trúc ở mức chương 1</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p>
      <w:pPr>
        <w:pStyle w:val="Heading4"/>
      </w:pPr>
      <w:r>
        <w:t>Bảng 1.9. Checklist kiểm chứng thiết kế Microservices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F2F4F7"/>
            <w:tcMar>
              <w:top w:w="80" w:type="dxa"/>
              <w:start w:w="120" w:type="dxa"/>
              <w:bottom w:w="80" w:type="dxa"/>
              <w:end w:w="120" w:type="dxa"/>
            </w:tcMar>
            <w:vAlign w:val="center"/>
          </w:tcPr>
          <w:p>
            <w:r>
              <w:rPr>
                <w:b/>
                <w:sz w:val="18"/>
              </w:rPr>
              <w:t>Mục</w:t>
            </w:r>
          </w:p>
        </w:tc>
        <w:tc>
          <w:tcPr>
            <w:tcW w:type="dxa" w:w="3120"/>
            <w:shd w:fill="F2F4F7"/>
            <w:tcMar>
              <w:top w:w="80" w:type="dxa"/>
              <w:start w:w="120" w:type="dxa"/>
              <w:bottom w:w="80" w:type="dxa"/>
              <w:end w:w="120" w:type="dxa"/>
            </w:tcMar>
            <w:vAlign w:val="center"/>
          </w:tcPr>
          <w:p>
            <w:r>
              <w:rPr>
                <w:b/>
                <w:sz w:val="18"/>
              </w:rPr>
              <w:t>Nội dung cập nhật</w:t>
            </w:r>
          </w:p>
        </w:tc>
        <w:tc>
          <w:tcPr>
            <w:tcW w:type="dxa" w:w="3120"/>
            <w:shd w:fill="F2F4F7"/>
            <w:tcMar>
              <w:top w:w="80" w:type="dxa"/>
              <w:start w:w="120" w:type="dxa"/>
              <w:bottom w:w="80" w:type="dxa"/>
              <w:end w:w="120" w:type="dxa"/>
            </w:tcMar>
            <w:vAlign w:val="center"/>
          </w:tcPr>
          <w:p>
            <w:r>
              <w:rPr>
                <w:b/>
                <w:sz w:val="18"/>
              </w:rPr>
              <w:t>Liên hệ code/test</w:t>
            </w:r>
          </w:p>
        </w:tc>
      </w:tr>
      <w:tr>
        <w:tc>
          <w:tcPr>
            <w:tcW w:type="dxa" w:w="3120"/>
            <w:tcMar>
              <w:top w:w="80" w:type="dxa"/>
              <w:start w:w="120" w:type="dxa"/>
              <w:bottom w:w="80" w:type="dxa"/>
              <w:end w:w="120" w:type="dxa"/>
            </w:tcMar>
            <w:vAlign w:val="center"/>
          </w:tcPr>
          <w:p>
            <w:r>
              <w:rPr>
                <w:sz w:val="18"/>
              </w:rPr>
              <w:t>Phạm vi</w:t>
            </w:r>
          </w:p>
        </w:tc>
        <w:tc>
          <w:tcPr>
            <w:tcW w:type="dxa" w:w="3120"/>
            <w:tcMar>
              <w:top w:w="80" w:type="dxa"/>
              <w:start w:w="120" w:type="dxa"/>
              <w:bottom w:w="80" w:type="dxa"/>
              <w:end w:w="120" w:type="dxa"/>
            </w:tcMar>
            <w:vAlign w:val="center"/>
          </w:tcPr>
          <w:p>
            <w:r>
              <w:rPr>
                <w:sz w:val="18"/>
              </w:rPr>
              <w:t>Giữ nguyên đề mục gốc, cập nhật nội dung theo code hiện tại</w:t>
            </w:r>
          </w:p>
        </w:tc>
        <w:tc>
          <w:tcPr>
            <w:tcW w:type="dxa" w:w="3120"/>
            <w:tcMar>
              <w:top w:w="80" w:type="dxa"/>
              <w:start w:w="120" w:type="dxa"/>
              <w:bottom w:w="80" w:type="dxa"/>
              <w:end w:w="120" w:type="dxa"/>
            </w:tcMar>
            <w:vAlign w:val="center"/>
          </w:tcPr>
          <w:p>
            <w:r>
              <w:rPr>
                <w:sz w:val="18"/>
              </w:rPr>
              <w:t>Repo d:\Ecommerce</w:t>
            </w:r>
          </w:p>
        </w:tc>
      </w:tr>
      <w:tr>
        <w:tc>
          <w:tcPr>
            <w:tcW w:type="dxa" w:w="3120"/>
            <w:tcMar>
              <w:top w:w="80" w:type="dxa"/>
              <w:start w:w="120" w:type="dxa"/>
              <w:bottom w:w="80" w:type="dxa"/>
              <w:end w:w="120" w:type="dxa"/>
            </w:tcMar>
            <w:vAlign w:val="center"/>
          </w:tcPr>
          <w:p>
            <w:r>
              <w:rPr>
                <w:sz w:val="18"/>
              </w:rPr>
              <w:t>Logic</w:t>
            </w:r>
          </w:p>
        </w:tc>
        <w:tc>
          <w:tcPr>
            <w:tcW w:type="dxa" w:w="3120"/>
            <w:tcMar>
              <w:top w:w="80" w:type="dxa"/>
              <w:start w:w="120" w:type="dxa"/>
              <w:bottom w:w="80" w:type="dxa"/>
              <w:end w:w="120" w:type="dxa"/>
            </w:tcMar>
            <w:vAlign w:val="center"/>
          </w:tcPr>
          <w:p>
            <w:r>
              <w:rPr>
                <w:sz w:val="18"/>
              </w:rPr>
              <w:t>Đảm bảo liên kết thực tế giữa service và FE</w:t>
            </w:r>
          </w:p>
        </w:tc>
        <w:tc>
          <w:tcPr>
            <w:tcW w:type="dxa" w:w="3120"/>
            <w:tcMar>
              <w:top w:w="80" w:type="dxa"/>
              <w:start w:w="120" w:type="dxa"/>
              <w:bottom w:w="80" w:type="dxa"/>
              <w:end w:w="120" w:type="dxa"/>
            </w:tcMar>
            <w:vAlign w:val="center"/>
          </w:tcPr>
          <w:p>
            <w:r>
              <w:rPr>
                <w:sz w:val="18"/>
              </w:rPr>
              <w:t>API + Playwright E2E</w:t>
            </w:r>
          </w:p>
        </w:tc>
      </w:tr>
      <w:tr>
        <w:tc>
          <w:tcPr>
            <w:tcW w:type="dxa" w:w="3120"/>
            <w:tcMar>
              <w:top w:w="80" w:type="dxa"/>
              <w:start w:w="120" w:type="dxa"/>
              <w:bottom w:w="80" w:type="dxa"/>
              <w:end w:w="120" w:type="dxa"/>
            </w:tcMar>
            <w:vAlign w:val="center"/>
          </w:tcPr>
          <w:p>
            <w:r>
              <w:rPr>
                <w:sz w:val="18"/>
              </w:rPr>
              <w:t>Kiểm soát lỗi</w:t>
            </w:r>
          </w:p>
        </w:tc>
        <w:tc>
          <w:tcPr>
            <w:tcW w:type="dxa" w:w="3120"/>
            <w:tcMar>
              <w:top w:w="80" w:type="dxa"/>
              <w:start w:w="120" w:type="dxa"/>
              <w:bottom w:w="80" w:type="dxa"/>
              <w:end w:w="120" w:type="dxa"/>
            </w:tcMar>
            <w:vAlign w:val="center"/>
          </w:tcPr>
          <w:p>
            <w:r>
              <w:rPr>
                <w:sz w:val="18"/>
              </w:rPr>
              <w:t>Phân quyền, ownership, validation và trạng thái nghiệp vụ</w:t>
            </w:r>
          </w:p>
        </w:tc>
        <w:tc>
          <w:tcPr>
            <w:tcW w:type="dxa" w:w="3120"/>
            <w:tcMar>
              <w:top w:w="80" w:type="dxa"/>
              <w:start w:w="120" w:type="dxa"/>
              <w:bottom w:w="80" w:type="dxa"/>
              <w:end w:w="120" w:type="dxa"/>
            </w:tcMar>
            <w:vAlign w:val="center"/>
          </w:tcPr>
          <w:p>
            <w:r>
              <w:rPr>
                <w:sz w:val="18"/>
              </w:rPr>
              <w:t>Kết quả test trong docs/test-results</w:t>
            </w:r>
          </w:p>
        </w:tc>
      </w:tr>
    </w:tbl>
    <w:p/>
    <w:p>
      <w:pPr>
        <w:pStyle w:val="Heading2"/>
      </w:pPr>
      <w:r>
        <w:t>1.11 Kết luận chương 1</w:t>
      </w:r>
    </w:p>
    <w:p>
      <w:pPr>
        <w:spacing w:after="120" w:line="264" w:lineRule="auto"/>
      </w:pPr>
      <w:r>
        <w:t>Nội dung được giữ theo hướng lý thuyết của báo cáo gốc và bổ sung cách liên hệ với ShopSphere: hệ thống được triển khai web-first bằng API Gateway, các microservice độc lập và database-per-service. Phần này nhấn mạnh rằng microservices chỉ phù hợp khi ranh giới nghiệp vụ đủ rõ, team có năng lực vận hành container và cần mở rộng từng năng lực riêng.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eastAsia="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