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366b419d4c32811bf66934f72c193585729678"/>
    <w:p>
      <w:pPr>
        <w:pStyle w:val="Heading1"/>
      </w:pPr>
      <w:r>
        <w:t xml:space="preserve">Too Big to Fail:</w:t>
      </w:r>
      <w:r>
        <w:t xml:space="preserve"> </w:t>
      </w:r>
      <w:r>
        <w:rPr>
          <w:iCs/>
          <w:i/>
        </w:rPr>
        <w:t xml:space="preserve">Fenye</w:t>
      </w:r>
      <w:r>
        <w:t xml:space="preserve"> </w:t>
      </w:r>
      <w:r>
        <w:t xml:space="preserve">and the Persistence of Correlative Cosmography in Qing China</w:t>
      </w:r>
    </w:p>
    <w:bookmarkStart w:id="20" w:name="introduction"/>
    <w:p>
      <w:pPr>
        <w:pStyle w:val="Heading2"/>
      </w:pPr>
      <w:r>
        <w:t xml:space="preserve">Introduction</w:t>
      </w:r>
    </w:p>
    <w:p>
      <w:pPr>
        <w:pStyle w:val="FirstParagraph"/>
      </w:pPr>
      <w:r>
        <w:t xml:space="preserve">The standard historiographical narrative of</w:t>
      </w:r>
      <w:r>
        <w:t xml:space="preserve"> </w:t>
      </w:r>
      <w:r>
        <w:rPr>
          <w:iCs/>
          <w:i/>
        </w:rPr>
        <w:t xml:space="preserve">fenye</w:t>
      </w:r>
      <w:r>
        <w:t xml:space="preserve"> </w:t>
      </w:r>
      <w:r>
        <w:t xml:space="preserve">(分野,</w:t>
      </w:r>
      <w:r>
        <w:t xml:space="preserve"> </w:t>
      </w:r>
      <w:r>
        <w:t xml:space="preserve">“</w:t>
      </w:r>
      <w:r>
        <w:t xml:space="preserve">field allocation</w:t>
      </w:r>
      <w:r>
        <w:t xml:space="preserve">”</w:t>
      </w:r>
      <w:r>
        <w:t xml:space="preserve">) — the ancient Chinese cosmological system correlating terrestrial regions with the twelve Jupiter stations and twenty-eight lunar lodges — has long been one of inevitable decline. On this account, the arrival of Jesuit-transmitted</w:t>
      </w:r>
      <w:r>
        <w:t xml:space="preserve"> </w:t>
      </w:r>
      <w:r>
        <w:t xml:space="preserve">“</w:t>
      </w:r>
      <w:r>
        <w:t xml:space="preserve">Western Learning</w:t>
      </w:r>
      <w:r>
        <w:t xml:space="preserve">”</w:t>
      </w:r>
      <w:r>
        <w:t xml:space="preserve"> </w:t>
      </w:r>
      <w:r>
        <w:t xml:space="preserve">(</w:t>
      </w:r>
      <w:r>
        <w:rPr>
          <w:iCs/>
          <w:i/>
        </w:rPr>
        <w:t xml:space="preserve">xixue</w:t>
      </w:r>
      <w:r>
        <w:t xml:space="preserve"> </w:t>
      </w:r>
      <w:r>
        <w:t xml:space="preserve">西學) in the seventeenth century, combined with literati criticism of</w:t>
      </w:r>
      <w:r>
        <w:t xml:space="preserve"> </w:t>
      </w:r>
      <w:r>
        <w:rPr>
          <w:iCs/>
          <w:i/>
        </w:rPr>
        <w:t xml:space="preserve">fenye</w:t>
      </w:r>
      <w:r>
        <w:t xml:space="preserve">’s internal inconsistencies, pushed the system toward irrelevance well before the Qing dynasty’s close in 1912. Tristan G. Brown’s</w:t>
      </w:r>
      <w:r>
        <w:t xml:space="preserve"> </w:t>
      </w:r>
      <w:r>
        <w:t xml:space="preserve">“</w:t>
      </w:r>
      <w:r>
        <w:t xml:space="preserve">From Fenye to Fengshui: Applying Correlative Cosmography in Late Imperial China,</w:t>
      </w:r>
      <w:r>
        <w:t xml:space="preserve">”</w:t>
      </w:r>
      <w:r>
        <w:t xml:space="preserve"> </w:t>
      </w:r>
      <w:r>
        <w:t xml:space="preserve">published in the</w:t>
      </w:r>
      <w:r>
        <w:t xml:space="preserve"> </w:t>
      </w:r>
      <w:r>
        <w:rPr>
          <w:iCs/>
          <w:i/>
        </w:rPr>
        <w:t xml:space="preserve">HoST – Journal of History of Science and Technology</w:t>
      </w:r>
      <w:r>
        <w:t xml:space="preserve">’s 2024 thematic dossier</w:t>
      </w:r>
      <w:r>
        <w:t xml:space="preserve"> </w:t>
      </w:r>
      <w:r>
        <w:rPr>
          <w:iCs/>
          <w:i/>
        </w:rPr>
        <w:t xml:space="preserve">Empire Under the Night Sky</w:t>
      </w:r>
      <w:r>
        <w:t xml:space="preserve">, argues against this narrative directly. Brown’s core claim is that</w:t>
      </w:r>
      <w:r>
        <w:t xml:space="preserve"> </w:t>
      </w:r>
      <w:r>
        <w:rPr>
          <w:iCs/>
          <w:i/>
        </w:rPr>
        <w:t xml:space="preserve">fenye</w:t>
      </w:r>
      <w:r>
        <w:t xml:space="preserve">’s status in pre-twentieth-century China was rarely an all-or-nothing proposition between celebrated orthodoxy and superseded relic: people critiqued</w:t>
      </w:r>
      <w:r>
        <w:t xml:space="preserve"> </w:t>
      </w:r>
      <w:r>
        <w:rPr>
          <w:iCs/>
          <w:i/>
        </w:rPr>
        <w:t xml:space="preserve">fenye</w:t>
      </w:r>
      <w:r>
        <w:t xml:space="preserve">, used</w:t>
      </w:r>
      <w:r>
        <w:t xml:space="preserve"> </w:t>
      </w:r>
      <w:r>
        <w:rPr>
          <w:iCs/>
          <w:i/>
        </w:rPr>
        <w:t xml:space="preserve">fenye</w:t>
      </w:r>
      <w:r>
        <w:t xml:space="preserve">, and updated</w:t>
      </w:r>
      <w:r>
        <w:t xml:space="preserve"> </w:t>
      </w:r>
      <w:r>
        <w:rPr>
          <w:iCs/>
          <w:i/>
        </w:rPr>
        <w:t xml:space="preserve">fenye</w:t>
      </w:r>
      <w:r>
        <w:t xml:space="preserve">, often simultaneously. This essay takes up Brown’s argument as its subject, situating it within the broader dossier of which it is part and considering what his evidentiary approach — tracing</w:t>
      </w:r>
      <w:r>
        <w:t xml:space="preserve"> </w:t>
      </w:r>
      <w:r>
        <w:rPr>
          <w:iCs/>
          <w:i/>
        </w:rPr>
        <w:t xml:space="preserve">fenye</w:t>
      </w:r>
      <w:r>
        <w:t xml:space="preserve"> </w:t>
      </w:r>
      <w:r>
        <w:t xml:space="preserve">across three distinct institutional registers — contributes to the historiography of Chinese science and cosmology.</w:t>
      </w:r>
    </w:p>
    <w:bookmarkEnd w:id="20"/>
    <w:bookmarkStart w:id="24" w:name="the-case-against-linear-decline"/>
    <w:p>
      <w:pPr>
        <w:pStyle w:val="Heading2"/>
      </w:pPr>
      <w:r>
        <w:t xml:space="preserve">The Case Against Linear Decline</w:t>
      </w:r>
    </w:p>
    <w:p>
      <w:pPr>
        <w:pStyle w:val="FirstParagraph"/>
      </w:pPr>
      <w:r>
        <w:t xml:space="preserve">Brown’s starting observation is methodological: literati would not have bothered criticizing a cosmological system that had already become socially irrelevant. The very existence of sustained seventeenth-century polemics against</w:t>
      </w:r>
      <w:r>
        <w:t xml:space="preserve"> </w:t>
      </w:r>
      <w:r>
        <w:rPr>
          <w:iCs/>
          <w:i/>
        </w:rPr>
        <w:t xml:space="preserve">fenye</w:t>
      </w:r>
      <w:r>
        <w:t xml:space="preserve">’s inconsistencies presupposes an audience still invested enough in the system to need correcting. Brown builds his counter-narrative across three venues, each corresponding to a different social register: dynastic records and imperial memorials (the interests of the court), local gazetteers (the attention of administrators and provincial literati), and fengshui manuals (the broader diffusion of</w:t>
      </w:r>
      <w:r>
        <w:t xml:space="preserve"> </w:t>
      </w:r>
      <w:r>
        <w:rPr>
          <w:iCs/>
          <w:i/>
        </w:rPr>
        <w:t xml:space="preserve">fenye</w:t>
      </w:r>
      <w:r>
        <w:t xml:space="preserve"> </w:t>
      </w:r>
      <w:r>
        <w:t xml:space="preserve">logic into adjacent geomantic practice).</w:t>
      </w:r>
    </w:p>
    <w:bookmarkStart w:id="21" w:name="the-imperial-court"/>
    <w:p>
      <w:pPr>
        <w:pStyle w:val="Heading3"/>
      </w:pPr>
      <w:r>
        <w:t xml:space="preserve">The Imperial Court</w:t>
      </w:r>
    </w:p>
    <w:p>
      <w:pPr>
        <w:pStyle w:val="FirstParagraph"/>
      </w:pPr>
      <w:r>
        <w:t xml:space="preserve">Even after the Qianlong Emperor’s well-documented 1774 skepticism toward applying</w:t>
      </w:r>
      <w:r>
        <w:t xml:space="preserve"> </w:t>
      </w:r>
      <w:r>
        <w:rPr>
          <w:iCs/>
          <w:i/>
        </w:rPr>
        <w:t xml:space="preserve">fenye</w:t>
      </w:r>
      <w:r>
        <w:t xml:space="preserve"> </w:t>
      </w:r>
      <w:r>
        <w:t xml:space="preserve">correlations to the vast newly incorporated territories of Xinjiang, Brown shows that</w:t>
      </w:r>
      <w:r>
        <w:t xml:space="preserve"> </w:t>
      </w:r>
      <w:r>
        <w:rPr>
          <w:iCs/>
          <w:i/>
        </w:rPr>
        <w:t xml:space="preserve">fenye</w:t>
      </w:r>
      <w:r>
        <w:t xml:space="preserve"> </w:t>
      </w:r>
      <w:r>
        <w:t xml:space="preserve">reasoning persisted at the highest levels of Qing governance well into the nineteenth century. The Daoguang Emperor’s 1821 edict responding to a comet sighting — which explicitly invoked the Eastern Wall lodge’s correlation with the flood-prone Henan region to mobilize local officials — is Brown’s central piece of evidence that</w:t>
      </w:r>
      <w:r>
        <w:t xml:space="preserve"> </w:t>
      </w:r>
      <w:r>
        <w:rPr>
          <w:iCs/>
          <w:i/>
        </w:rPr>
        <w:t xml:space="preserve">fenye</w:t>
      </w:r>
      <w:r>
        <w:t xml:space="preserve"> </w:t>
      </w:r>
      <w:r>
        <w:t xml:space="preserve">remained a live idiom of imperial risk management, not merely inherited rhetoric. Brown reads this instance alongside later invocations, including a palace examination question during the Taiping crisis and continued astrological interpretation of celestial anomalies by the Astronomical Bureau into the early twentieth century, arguing that the frequency and specificity of these episodes tracks political and environmental crisis rather than any steady downward trend.</w:t>
      </w:r>
    </w:p>
    <w:bookmarkEnd w:id="21"/>
    <w:bookmarkStart w:id="22" w:name="local-gazetteers"/>
    <w:p>
      <w:pPr>
        <w:pStyle w:val="Heading3"/>
      </w:pPr>
      <w:r>
        <w:t xml:space="preserve">Local Gazetteers</w:t>
      </w:r>
    </w:p>
    <w:p>
      <w:pPr>
        <w:pStyle w:val="FirstParagraph"/>
      </w:pPr>
      <w:r>
        <w:t xml:space="preserve">Brown’s second body of evidence is quantitative: an analysis of citation patterns across more than 1,500 Qing-era local gazetteers containing astrological chapters, drawn from the LoGaRT database. Of gazetteers with fenye-related sections, over a third cite Qing-era (rather than purely ancient) astronomical sources by name — with the officially compiled</w:t>
      </w:r>
      <w:r>
        <w:t xml:space="preserve"> </w:t>
      </w:r>
      <w:r>
        <w:rPr>
          <w:iCs/>
          <w:i/>
        </w:rPr>
        <w:t xml:space="preserve">History of the Ming Dynasty</w:t>
      </w:r>
      <w:r>
        <w:t xml:space="preserve"> </w:t>
      </w:r>
      <w:r>
        <w:t xml:space="preserve">(1739) by far the most frequently invoked text. This finding matters for Brown’s argument because it demonstrates active updating rather than static reproduction: gazetteer compilers were not simply repeating antique formulas but incorporating newly available, Jesuit-influenced astronomical measurements into local astrological chapters. Brown further shows that this updating was geographically uneven and revealing in its unevenness — frontier provinces like Sichuan, still absorbing the disruption of the Ming-Qing transition, cited more contemporary sources than any other province, while frontier gazetteers from places like Hami in Xinjiang used</w:t>
      </w:r>
      <w:r>
        <w:t xml:space="preserve"> </w:t>
      </w:r>
      <w:r>
        <w:rPr>
          <w:iCs/>
          <w:i/>
        </w:rPr>
        <w:t xml:space="preserve">fenye</w:t>
      </w:r>
      <w:r>
        <w:t xml:space="preserve"> </w:t>
      </w:r>
      <w:r>
        <w:t xml:space="preserve">calculations explicitly to argue for the region’s cosmological — and by extension political — incorporation into the empire.</w:t>
      </w:r>
    </w:p>
    <w:bookmarkEnd w:id="22"/>
    <w:bookmarkStart w:id="23" w:name="the-fengshui-compass"/>
    <w:p>
      <w:pPr>
        <w:pStyle w:val="Heading3"/>
      </w:pPr>
      <w:r>
        <w:t xml:space="preserve">The Fengshui Compass</w:t>
      </w:r>
    </w:p>
    <w:p>
      <w:pPr>
        <w:pStyle w:val="FirstParagraph"/>
      </w:pPr>
      <w:r>
        <w:t xml:space="preserve">Brown’s third venue extends</w:t>
      </w:r>
      <w:r>
        <w:t xml:space="preserve"> </w:t>
      </w:r>
      <w:r>
        <w:rPr>
          <w:iCs/>
          <w:i/>
        </w:rPr>
        <w:t xml:space="preserve">fenye</w:t>
      </w:r>
      <w:r>
        <w:t xml:space="preserve">’s reach beyond astrology narrowly construed into geomantic practice. The introduction of Jesuit astronomical measurement forced a genuine technical crisis for compass-makers: should the geomantic compass’s total degree count follow the older 365.25-</w:t>
      </w:r>
      <w:r>
        <w:rPr>
          <w:iCs/>
          <w:i/>
        </w:rPr>
        <w:t xml:space="preserve">du</w:t>
      </w:r>
      <w:r>
        <w:t xml:space="preserve"> </w:t>
      </w:r>
      <w:r>
        <w:t xml:space="preserve">system inherited from the Han calendrical tradition, or the newly introduced 360-</w:t>
      </w:r>
      <w:r>
        <w:rPr>
          <w:iCs/>
          <w:i/>
        </w:rPr>
        <w:t xml:space="preserve">du</w:t>
      </w:r>
      <w:r>
        <w:t xml:space="preserve"> </w:t>
      </w:r>
      <w:r>
        <w:t xml:space="preserve">Western convention? Brown traces this dispute through nineteenth-century geomantic manuals, showing that practitioners never resolved it uniformly — some retained pre-Qing values, others adopted the new measurements, and many compasses (and the manuals accompanying them) simply included both systems as concentric layers, a practical compromise that persisted into the twentieth century. This unresolved coexistence is, for Brown, itself evidence against a decline narrative: a genuinely dying system does not generate this degree of continued technical investment and disagreement.</w:t>
      </w:r>
    </w:p>
    <w:bookmarkEnd w:id="23"/>
    <w:bookmarkEnd w:id="24"/>
    <w:bookmarkStart w:id="25" w:name="situating-brown-within-the-dossier"/>
    <w:p>
      <w:pPr>
        <w:pStyle w:val="Heading2"/>
      </w:pPr>
      <w:r>
        <w:t xml:space="preserve">Situating Brown Within the Dossier</w:t>
      </w:r>
    </w:p>
    <w:p>
      <w:pPr>
        <w:pStyle w:val="FirstParagraph"/>
      </w:pPr>
      <w:r>
        <w:t xml:space="preserve">Brown’s article is one of five contributions to the</w:t>
      </w:r>
      <w:r>
        <w:t xml:space="preserve"> </w:t>
      </w:r>
      <w:r>
        <w:rPr>
          <w:iCs/>
          <w:i/>
        </w:rPr>
        <w:t xml:space="preserve">HoST</w:t>
      </w:r>
      <w:r>
        <w:t xml:space="preserve"> </w:t>
      </w:r>
      <w:r>
        <w:t xml:space="preserve">thematic dossier, and it is worth reading in relation to its companion pieces, since Brown himself draws on their findings and the dossier as a whole is best understood as a coordinated argument mounted from several angles at once.</w:t>
      </w:r>
    </w:p>
    <w:p>
      <w:pPr>
        <w:pStyle w:val="BodyText"/>
      </w:pPr>
      <w:r>
        <w:t xml:space="preserve">Huiyi Wu’s</w:t>
      </w:r>
      <w:r>
        <w:t xml:space="preserve"> </w:t>
      </w:r>
      <w:r>
        <w:t xml:space="preserve">“</w:t>
      </w:r>
      <w:r>
        <w:t xml:space="preserve">An Encounter of Incommensurables,</w:t>
      </w:r>
      <w:r>
        <w:t xml:space="preserve">”</w:t>
      </w:r>
      <w:r>
        <w:t xml:space="preserve"> </w:t>
      </w:r>
      <w:r>
        <w:t xml:space="preserve">which traces the diffusion of Jesuit-transmitted</w:t>
      </w:r>
      <w:r>
        <w:t xml:space="preserve"> </w:t>
      </w:r>
      <w:r>
        <w:t xml:space="preserve">“</w:t>
      </w:r>
      <w:r>
        <w:t xml:space="preserve">Western Learning</w:t>
      </w:r>
      <w:r>
        <w:t xml:space="preserve">”</w:t>
      </w:r>
      <w:r>
        <w:t xml:space="preserve"> </w:t>
      </w:r>
      <w:r>
        <w:t xml:space="preserve">among local-level literati across the empire between 1660 and 1820, supplies Brown with his most direct corroborating statistic: at least 103 Qing-era gazetteers explicitly name</w:t>
      </w:r>
      <w:r>
        <w:t xml:space="preserve"> </w:t>
      </w:r>
      <w:r>
        <w:t xml:space="preserve">“</w:t>
      </w:r>
      <w:r>
        <w:t xml:space="preserve">Western Learning</w:t>
      </w:r>
      <w:r>
        <w:t xml:space="preserve">”</w:t>
      </w:r>
      <w:r>
        <w:t xml:space="preserve"> </w:t>
      </w:r>
      <w:r>
        <w:t xml:space="preserve">in their astronomical discussions. Brown’s own gazetteer-citation analysis is narrower by design — he tracks citations of specific, named Qing-era texts rather than more general acknowledgments of Western influence — so Wu’s broader diffusion study and Brown’s more granular citation count function as complementary rather than overlapping evidence. Where Wu establishes that awareness of Western astronomical knowledge had become widespread among the literati responsible for compiling gazetteers, Brown’s contribution shows what those literati actually did with that awareness: not passive acknowledgment but active incorporation into astrological chapters that continued to serve real administrative and antiquarian functions.</w:t>
      </w:r>
    </w:p>
    <w:p>
      <w:pPr>
        <w:pStyle w:val="BodyText"/>
      </w:pPr>
      <w:r>
        <w:t xml:space="preserve">Shih-Pei Chen’s</w:t>
      </w:r>
      <w:r>
        <w:t xml:space="preserve"> </w:t>
      </w:r>
      <w:r>
        <w:t xml:space="preserve">“</w:t>
      </w:r>
      <w:r>
        <w:t xml:space="preserve">Fenye by the Numbers</w:t>
      </w:r>
      <w:r>
        <w:t xml:space="preserve">”</w:t>
      </w:r>
      <w:r>
        <w:t xml:space="preserve"> </w:t>
      </w:r>
      <w:r>
        <w:t xml:space="preserve">undertakes a parallel quantitative study of the same LoGaRT corpus, but casts a wider net methodologically, searching a broader set of related terms and arriving at 2,197 fenye-related gazetteer sections against Brown’s more conservative count of roughly 1,517. Chen’s paper also documents the imperial court’s earliest formal attempt to displace</w:t>
      </w:r>
      <w:r>
        <w:t xml:space="preserve"> </w:t>
      </w:r>
      <w:r>
        <w:rPr>
          <w:iCs/>
          <w:i/>
        </w:rPr>
        <w:t xml:space="preserve">fenye</w:t>
      </w:r>
      <w:r>
        <w:t xml:space="preserve"> </w:t>
      </w:r>
      <w:r>
        <w:t xml:space="preserve">terminology altogether, in favor of a more explicitly measurement-based vocabulary of</w:t>
      </w:r>
      <w:r>
        <w:t xml:space="preserve"> </w:t>
      </w:r>
      <w:r>
        <w:t xml:space="preserve">“</w:t>
      </w:r>
      <w:r>
        <w:t xml:space="preserve">Gnomonic Degrees</w:t>
      </w:r>
      <w:r>
        <w:t xml:space="preserve">”</w:t>
      </w:r>
      <w:r>
        <w:t xml:space="preserve"> </w:t>
      </w:r>
      <w:r>
        <w:t xml:space="preserve">(晷度). This is a notable point of contact with Brown’s argument: Chen’s finding demonstrates that the court itself experimented with abandoning</w:t>
      </w:r>
      <w:r>
        <w:t xml:space="preserve"> </w:t>
      </w:r>
      <w:r>
        <w:rPr>
          <w:iCs/>
          <w:i/>
        </w:rPr>
        <w:t xml:space="preserve">fenye</w:t>
      </w:r>
      <w:r>
        <w:t xml:space="preserve">’s conceptual vocabulary even as, on Brown’s evidence, individual emperors continued to invoke</w:t>
      </w:r>
      <w:r>
        <w:t xml:space="preserve"> </w:t>
      </w:r>
      <w:r>
        <w:rPr>
          <w:iCs/>
          <w:i/>
        </w:rPr>
        <w:t xml:space="preserve">fenye</w:t>
      </w:r>
      <w:r>
        <w:t xml:space="preserve"> </w:t>
      </w:r>
      <w:r>
        <w:t xml:space="preserve">correlations in edicts and private memoranda well after that experiment. Read together, Chen and Brown suggest that Qing engagement with</w:t>
      </w:r>
      <w:r>
        <w:t xml:space="preserve"> </w:t>
      </w:r>
      <w:r>
        <w:rPr>
          <w:iCs/>
          <w:i/>
        </w:rPr>
        <w:t xml:space="preserve">fenye</w:t>
      </w:r>
      <w:r>
        <w:t xml:space="preserve"> </w:t>
      </w:r>
      <w:r>
        <w:t xml:space="preserve">was not a single coherent institutional position but several simultaneous and only loosely coordinated ones — official terminology could shift in one register while inherited cosmological reasoning persisted, unremarked, in another. Brown notes explicitly that despite Chen’s broader search methodology and different resulting figures, the two studies converge on substantially the same conclusions about which Qing-era sources were most frequently cited, which strengthens rather than undermines Brown’s case: two independent methodological approaches to the same database arrive at compatible pictures of sustained, active citation rather than residual, ornamental reference.</w:t>
      </w:r>
    </w:p>
    <w:p>
      <w:pPr>
        <w:pStyle w:val="BodyText"/>
      </w:pPr>
      <w:r>
        <w:t xml:space="preserve">Jiajing Zhang’s contribution, addressing</w:t>
      </w:r>
      <w:r>
        <w:t xml:space="preserve"> </w:t>
      </w:r>
      <w:r>
        <w:rPr>
          <w:iCs/>
          <w:i/>
        </w:rPr>
        <w:t xml:space="preserve">fenye</w:t>
      </w:r>
      <w:r>
        <w:t xml:space="preserve">’s eventual — but genuinely late — replacement by latitude-and-longitude positioning, supplies the dossier’s account of what ultimately did displace the system, complementing Brown’s argument that displacement was neither early nor linear. Read across all four empirical papers, the dossier’s collective claim is considerably stronger than any single article’s:</w:t>
      </w:r>
      <w:r>
        <w:t xml:space="preserve"> </w:t>
      </w:r>
      <w:r>
        <w:rPr>
          <w:iCs/>
          <w:i/>
        </w:rPr>
        <w:t xml:space="preserve">fenye</w:t>
      </w:r>
      <w:r>
        <w:t xml:space="preserve"> </w:t>
      </w:r>
      <w:r>
        <w:t xml:space="preserve">was named as outdated in the seventeenth century, formally experimented against in official vocabulary, and only functionally superseded by an entirely different positioning framework more than a century later — with Brown’s contribution supplying the crucial middle term explaining why that gap was so long.</w:t>
      </w:r>
    </w:p>
    <w:bookmarkEnd w:id="25"/>
    <w:bookmarkStart w:id="26" w:name="historiographical-stakes"/>
    <w:p>
      <w:pPr>
        <w:pStyle w:val="Heading2"/>
      </w:pPr>
      <w:r>
        <w:t xml:space="preserve">Historiographical Stakes</w:t>
      </w:r>
    </w:p>
    <w:p>
      <w:pPr>
        <w:pStyle w:val="FirstParagraph"/>
      </w:pPr>
      <w:r>
        <w:t xml:space="preserve">Brown closes his argument with a comparative observation about the historiography of astrology more broadly: European astrology was largely dropped from university curricula by the early eighteenth century, while</w:t>
      </w:r>
      <w:r>
        <w:t xml:space="preserve"> </w:t>
      </w:r>
      <w:r>
        <w:rPr>
          <w:iCs/>
          <w:i/>
        </w:rPr>
        <w:t xml:space="preserve">fenye</w:t>
      </w:r>
      <w:r>
        <w:t xml:space="preserve"> </w:t>
      </w:r>
      <w:r>
        <w:t xml:space="preserve">retained an official, if increasingly contested, position within Chinese governance through the end of the imperial system in 1912. Brown is careful not to overstate this contrast into a claim about Chinese cosmological conservatism; his point is narrower and more useful, namely that intellectual criticism of a system tells us little on its own about that system’s institutional durability. The right diagnostic, on Brown’s account, is not whether elites criticized</w:t>
      </w:r>
      <w:r>
        <w:t xml:space="preserve"> </w:t>
      </w:r>
      <w:r>
        <w:rPr>
          <w:iCs/>
          <w:i/>
        </w:rPr>
        <w:t xml:space="preserve">fenye</w:t>
      </w:r>
      <w:r>
        <w:t xml:space="preserve"> </w:t>
      </w:r>
      <w:r>
        <w:t xml:space="preserve">— they clearly did, at least as early as the seventeenth century — but whether the system continued to appear in government recognition, examination culture, practical technical application, and legal or political argument. By that standard, Brown’s evidence across all three registers points toward the same conclusion:</w:t>
      </w:r>
      <w:r>
        <w:t xml:space="preserve"> </w:t>
      </w:r>
      <w:r>
        <w:rPr>
          <w:iCs/>
          <w:i/>
        </w:rPr>
        <w:t xml:space="preserve">fenye</w:t>
      </w:r>
      <w:r>
        <w:t xml:space="preserve"> </w:t>
      </w:r>
      <w:r>
        <w:t xml:space="preserve">survived not despite criticism but because a sufficiently large constituency, from the imperial court down to provincial gazetteer compilers and working geomancers, remained invested in its continued use. As Brown puts it, for both county and country,</w:t>
      </w:r>
      <w:r>
        <w:t xml:space="preserve"> </w:t>
      </w:r>
      <w:r>
        <w:rPr>
          <w:iCs/>
          <w:i/>
        </w:rPr>
        <w:t xml:space="preserve">fenye</w:t>
      </w:r>
      <w:r>
        <w:t xml:space="preserve"> </w:t>
      </w:r>
      <w:r>
        <w:t xml:space="preserve">was too big to fail.</w:t>
      </w:r>
    </w:p>
    <w:bookmarkEnd w:id="26"/>
    <w:bookmarkStart w:id="27" w:name="conclusion"/>
    <w:p>
      <w:pPr>
        <w:pStyle w:val="Heading2"/>
      </w:pPr>
      <w:r>
        <w:t xml:space="preserve">Conclusion</w:t>
      </w:r>
    </w:p>
    <w:p>
      <w:pPr>
        <w:pStyle w:val="FirstParagraph"/>
      </w:pPr>
      <w:r>
        <w:t xml:space="preserve">Brown’s contribution to</w:t>
      </w:r>
      <w:r>
        <w:t xml:space="preserve"> </w:t>
      </w:r>
      <w:r>
        <w:rPr>
          <w:iCs/>
          <w:i/>
        </w:rPr>
        <w:t xml:space="preserve">Empire Under the Night Sky</w:t>
      </w:r>
      <w:r>
        <w:t xml:space="preserve"> </w:t>
      </w:r>
      <w:r>
        <w:t xml:space="preserve">offers a methodologically distinct case for revising a settled narrative in the history of Chinese science: rather than arguing from a single canonical text or court debate, Brown assembles a layered, cross-institutional evidentiary base — imperial edicts, a database-scale gazetteer citation analysis, and comparative fengshui manual readings — that collectively resist easy narratives of decline. The essay’s broader contribution to the history of science lies in this method as much as in its specific conclusions about</w:t>
      </w:r>
      <w:r>
        <w:t xml:space="preserve"> </w:t>
      </w:r>
      <w:r>
        <w:rPr>
          <w:iCs/>
          <w:i/>
        </w:rPr>
        <w:t xml:space="preserve">fenye</w:t>
      </w:r>
      <w:r>
        <w:t xml:space="preserve">: it models how correlative cosmological systems can be tracked not as ideas in isolation but as infrastructures embedded in bureaucratic practice, textual transmission, and craft technique, each of which can preserve a system’s relevance well past the point at which its intellectual defenders have stopped mounting a case for it.</w:t>
      </w:r>
    </w:p>
    <w:p>
      <w:r>
        <w:pict>
          <v:rect style="width:0;height:1.5pt" o:hralign="center" o:hrstd="t" o:hr="t"/>
        </w:pict>
      </w:r>
    </w:p>
    <w:p>
      <w:pPr>
        <w:pStyle w:val="FirstParagraph"/>
      </w:pPr>
      <w:r>
        <w:rPr>
          <w:iCs/>
          <w:i/>
        </w:rPr>
        <w:t xml:space="preserve">This essay draws primarily on Tristan G. Brown,</w:t>
      </w:r>
      <w:r>
        <w:rPr>
          <w:iCs/>
          <w:i/>
        </w:rPr>
        <w:t xml:space="preserve"> </w:t>
      </w:r>
      <w:r>
        <w:rPr>
          <w:iCs/>
          <w:i/>
        </w:rPr>
        <w:t xml:space="preserve">“</w:t>
      </w:r>
      <w:r>
        <w:rPr>
          <w:iCs/>
          <w:i/>
        </w:rPr>
        <w:t xml:space="preserve">From Fenye to Fengshui: Applying Correlative Cosmography in Late Imperial China,</w:t>
      </w:r>
      <w:r>
        <w:rPr>
          <w:iCs/>
          <w:i/>
        </w:rPr>
        <w:t xml:space="preserve">”</w:t>
      </w:r>
      <w:r>
        <w:rPr>
          <w:iCs/>
          <w:i/>
        </w:rPr>
        <w:t xml:space="preserve"> </w:t>
      </w:r>
      <w:r>
        <w:rPr>
          <w:iCs/>
          <w:i/>
        </w:rPr>
        <w:t xml:space="preserve">HoST – Journal of History of Science and Technology 18, no. 1 (June 2024): 61–85, https://doi.org/10.2478/host-2024-0004, and situates it among its companion pieces in the same thematic dossier, Empire Under the Night Sky: Recording Astral-Cosmography in Qing Dynasty China, 17th–19th Centuries (HoST 18, no. 1, June 2024).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2026-08-23T10:50:53Z</dcterms:created>
  <dcterms:modified xsi:type="dcterms:W3CDTF">2026-08-23T10:50:53Z</dcterms:modified>
</cp:coreProperties>
</file>

<file path=docProps/custom.xml><?xml version="1.0" encoding="utf-8"?>
<Properties xmlns="http://schemas.openxmlformats.org/officeDocument/2006/custom-properties" xmlns:vt="http://schemas.openxmlformats.org/officeDocument/2006/docPropsVTypes"/>
</file>