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Aestheticizing the Leaf: Material Affordances, Sensory Experience, and Cultural Mediation of Tea in East Asia</w:t>
      </w:r>
    </w:p>
    <w:p>
      <w:pPr>
        <w:jc w:val="center"/>
      </w:pPr>
      <w:r>
        <w:t>Full Chapter Working Draft</w:t>
      </w:r>
    </w:p>
    <w:p>
      <w:pPr>
        <w:jc w:val="center"/>
      </w:pPr>
      <w:r>
        <w:rPr>
          <w:i w:val="0"/>
        </w:rPr>
        <w:t>Vivien Jiaqian Zhu 朱嘉倩</w:t>
      </w:r>
    </w:p>
    <w:p>
      <w:pPr>
        <w:pStyle w:val="Heading1"/>
      </w:pPr>
      <w:r>
        <w:t>Abstract</w:t>
      </w:r>
    </w:p>
    <w:p>
      <w:r>
        <w:t>Tea is often described through the language of culture, tradition, identity, or consumption, yet such categories can obscure the material and sensory processes through which tea acquires aesthetic meaning. This chapter proposes a material-affordance approach to tea in China and Japan, focusing on selected literary, visual, and embodied practices from the late Ming and early modern period to the contemporary era. By “material affordances,” the chapter refers to possibilities for perception, handling, representation, and interpretation made available by tea’s physical characteristics and by the objects, spaces, and techniques assembled around it. The argument is that tea becomes aesthetically legible through an interaction among leaf, water, vessel, temperature, color, aroma, texture, gesture, spatial arrangement, and culturally learned modes of attention. Late imperial Chinese tea culture provides a rich example because literati writings and objects brought together connoisseurship, literary description, painting, teaware, and refined sensibility. In Japan, chanoyu similarly demonstrates how bowls, jars, water vessels, architecture, light, and bodily technique participate in aesthetic experience. Modern and contemporary texts further show how tea is re-mediated through literary essays, everyday communication, commercial presentation, and visual culture. Bringing material culture studies into dialogue with sensory studies and literary and visual analysis, the chapter argues that tea is better understood as a materially and sensorially mediated aesthetic medium than solely as an object of cultural consumption.</w:t>
      </w:r>
    </w:p>
    <w:p>
      <w:r>
        <w:rPr>
          <w:b/>
        </w:rPr>
        <w:t xml:space="preserve">Keywords: </w:t>
      </w:r>
      <w:r>
        <w:t>tea; materiality; material affordances; sensory studies; China; Japan; aesthetics; literary mediation; visual culture; chanoyu</w:t>
      </w:r>
    </w:p>
    <w:p>
      <w:pPr>
        <w:pStyle w:val="Heading1"/>
      </w:pPr>
      <w:r>
        <w:t>1. Introduction</w:t>
      </w:r>
    </w:p>
    <w:p>
      <w:r>
        <w:t>Tea occupies an unusual position in cultural history because it can function simultaneously as a plant material, a beverage, a commodity, a ritual substance, an aesthetic object, a literary motif, and a social medium. These dimensions do not merely coexist; they interact. A tea leaf has smell, color, texture, moisture, and form before it is named as a cultural symbol. A bowl has weight, surface, thermal behavior, and tactile resistance before it becomes an object of connoisseurial judgment. The aesthetic life of tea therefore depends on encounters among material properties, sensory attention, learned practices, and systems of cultural value.</w:t>
      </w:r>
    </w:p>
    <w:p>
      <w:r>
        <w:t>Existing histories of tea have emphasized trade, religion, political economy, national identity, or the development of drinking practices. Literary and art-historical scholarship has also shown how tea appears in poetry, painting, ceramics, gardens, and ritual spaces. Materiality and affordance perspectives make it possible to ask a more specific question: what does tea’s material configuration allow people to perceive, do, represent, and value? The question matters because “consumption” can describe acquisition or use without adequately explaining why textures, vessels, aromas, and modes of preparation become aesthetically consequential.</w:t>
      </w:r>
    </w:p>
    <w:p>
      <w:r>
        <w:t>This chapter therefore shifts the analytical emphasis from tea as an object of cultural consumption to tea as a materially and sensorially mediated aesthetic medium. The geographical focus is restricted to China and Japan, while the principal historical focus runs from the late Ming and early modern period into contemporary practice. Earlier tea histories are used only as genealogy where necessary. This restriction is intentional: the chapter does not attempt to summarize “East Asian tea culture” as a whole, but instead traces how material and sensory qualities are culturally organized in selected Chinese and Japanese contexts.</w:t>
      </w:r>
    </w:p>
    <w:p>
      <w:r>
        <w:t>The central concept is “material affordances.” In ecological psychology, affordances refer to possibilities for action that emerge in the relation between an environment and an actor (Gibson 1986). Recent materiality research has applied the concept to objects and materials that enable or constrain use, perception, and meaning (Pavlyuchenko and Dion 2025; Woodward et al. 2023). Applied to tea, the concept directs attention to concrete possibilities: leaves can be dried, rolled, infused, displayed, smelled, and described; liquid can change color and temperature; vessels can retain or dissipate heat; rough or smooth surfaces can invite different forms of touch; a teahouse can regulate bodily movement and visual attention. These possibilities become aesthetic through culturally organized practices, but they are not reducible to symbolism.</w:t>
      </w:r>
    </w:p>
    <w:p>
      <w:r>
        <w:t>The chapter develops four claims. First, tea’s material properties participate in the generation of aesthetic possibilities rather than merely carrying meanings imposed from outside. Second, literary and visual representations do not simply reflect tea practices; they train attention by selecting, naming, sequencing, and framing sensory details. Third, the objects surrounding tea form a material ensemble that helps choreograph perception and action. Fourth, cultural mediation determines which affordances are noticed and valued, meaning that affordances are relational rather than universal.</w:t>
      </w:r>
    </w:p>
    <w:p>
      <w:pPr>
        <w:pStyle w:val="Heading1"/>
      </w:pPr>
      <w:r>
        <w:t>2. From Material Properties to Material Affordances</w:t>
      </w:r>
    </w:p>
    <w:p>
      <w:pPr>
        <w:pStyle w:val="Heading2"/>
      </w:pPr>
      <w:r>
        <w:t>2.1 Materiality and the problem of the object</w:t>
      </w:r>
    </w:p>
    <w:p>
      <w:r>
        <w:t>Material-culture research has increasingly challenged approaches that treat objects as passive containers of meanings. Reviews of cultural objects and materiality emphasize that qualities, constraints, and affordances can participate in meaning-making and action (Woodward et al. 2023). Such work does not deny symbolic interpretation. Rather, it asks what becomes visible when the physical constitution of an object is treated as part of the mechanism through which meaning and practice are organized.</w:t>
      </w:r>
    </w:p>
    <w:p>
      <w:r>
        <w:t>Ingold’s critique of materiality is useful because it distinguishes materials from a static image of matter as inert substance. Materials are encountered through making, weathering, transformation, and use; their qualities become legible through practical engagement (Ingold 2007). Tea is particularly suited to this approach because the leaf is not a fixed object. Dry leaf, opened leaf, brewed infusion, vapor, sediment, and spent leaf are materially different states, each associated with different sensory and practical possibilities.</w:t>
      </w:r>
    </w:p>
    <w:p>
      <w:r>
        <w:t>A teacup can be described by shape and decoration, but those dimensions do not exhaust the drinking experience. Ceramic composition, wall thickness, glazing, thermal behavior, weight, porosity, and surface temperature can influence how a cup is held and how tea is perceived. A recent affordance-theory study similarly argues that materials can drive object affordances and alter the balance of agency between users and things (Pavlyuchenko and Dion 2025).</w:t>
      </w:r>
    </w:p>
    <w:p>
      <w:pPr>
        <w:pStyle w:val="Heading2"/>
      </w:pPr>
      <w:r>
        <w:t>2.2 Defining “material affordances” in tea studies</w:t>
      </w:r>
    </w:p>
    <w:p>
      <w:r>
        <w:t>In this chapter, “material affordances” refers to the possibilities for perception, interaction, representation, and interpretation enabled by the physical characteristics of tea and its associated material forms. The term does not mean that matter mechanically determines behavior. An affordance is relational: it becomes available through an encounter involving a material environment, a person, a goal, and culturally learned expectations. A tea bowl can afford touch, but whether touch is emphasized as knowledge depends on the practice in which the bowl is encountered. Tea aroma can afford recognition and comparison, but the capacity to name distinctions depends on training and shared vocabularies.</w:t>
      </w:r>
    </w:p>
    <w:p>
      <w:r>
        <w:t>This definition distinguishes affordances from both material properties and cultural meanings. A property belongs to the physical description of a thing: a vessel is porous, a tea is aromatic, a liquid is hot. An affordance describes what such properties make possible in a situated practice: porosity may allow traces of use to accumulate and become valued; aroma may support judgments of provenance; heat may regulate the timing of serving and drinking. Cultural mediation then determines how those possibilities are interpreted. The analytical sequence can therefore be stated as: material property → sensory possibility → situated action → cultural interpretation → aesthetic value.</w:t>
      </w:r>
    </w:p>
    <w:p>
      <w:pPr>
        <w:pStyle w:val="Heading2"/>
      </w:pPr>
      <w:r>
        <w:t>2.3 Sensory experience as mediated knowledge</w:t>
      </w:r>
    </w:p>
    <w:p>
      <w:r>
        <w:t>Sensory studies emphasize that perception is embodied but also socially organized: what counts as a relevant sensation, how sensations are named, and which forms of sensory expertise are valued vary across historical contexts (Howes and Classen 2014). Tea offers a clear case because taste and smell are difficult to detach from technique, memory, and vocabulary. The sensory encounter becomes cultural knowledge through repeated practices of comparison, description, and judgment.</w:t>
      </w:r>
    </w:p>
    <w:p>
      <w:r>
        <w:t>Recent research on teaware provides a complementary scientific perspective. The material properties of drinking vessels can influence sensory discrimination and hedonic evaluation in tea drinking, while semantic associations with different vessels can also affect experience (Spence et al. 2024). Such evidence reinforces the value of treating vessels as active components of the drinking event rather than neutral containers.</w:t>
      </w:r>
    </w:p>
    <w:p>
      <w:pPr>
        <w:pStyle w:val="Heading1"/>
      </w:pPr>
      <w:r>
        <w:t>3. China: Tea, Connoisseurship, and the Aesthetic Life of Things</w:t>
      </w:r>
    </w:p>
    <w:p>
      <w:pPr>
        <w:pStyle w:val="Heading2"/>
      </w:pPr>
      <w:r>
        <w:t>3.1 Tea as a connoisseurial object</w:t>
      </w:r>
    </w:p>
    <w:p>
      <w:r>
        <w:t>Late imperial Chinese culture provides a productive setting for examining material affordances because aesthetic appreciation of tea was inseparable from the appreciation of tools, settings, and acts of preparation. James A. Benn shows the importance of literati connoisseurship, Buddhist institutions, tea-related painting and writing, and artifacts such as kettles, cups, bowls, and Yixing ware in Ming tea culture (Benn 2015). Tea was therefore not an isolated consumable but part of an ensemble of material practices through which refinement could be performed and recognized.</w:t>
      </w:r>
    </w:p>
    <w:p>
      <w:r>
        <w:t>This ensemble helps explain why tea could become a medium of distinction without being reducible to status consumption. A teapot’s clay, a cup’s shape, the quality of water, the arrangement of a room, and the selection of a tea could all become objects of discrimination. Research on Ming literati tea culture likewise connects tea with nature, taste, tea books, paintings, clubs, and self-fashioning (Jiang 2023). The aesthetic effect emerges through coordinated attention: one learns to look at the leaf, smell the infusion, read the vessel, and interpret the setting as parts of one event.</w:t>
      </w:r>
    </w:p>
    <w:p>
      <w:r>
        <w:t>The longer genealogy of this sensory logic can be seen in Song China, where tea quality was connected to environment, technique, taste, and place. Xiaolin Duan’s recent study of Beiyuan tea shows how literati and tea specialists integrated landscape knowledge, production practice, and sensory discrimination into a rhetoric of terroir (Duan 2026). Although the detailed historical focus here begins later, this genealogy is important because it shows that sensory perception could function as a form of material and place-based knowledge.</w:t>
      </w:r>
    </w:p>
    <w:p>
      <w:pPr>
        <w:pStyle w:val="Heading2"/>
      </w:pPr>
      <w:r>
        <w:t>3.2 Zhang Dai and the literary microphysics of tea</w:t>
      </w:r>
    </w:p>
    <w:p>
      <w:r>
        <w:t>Late Ming writing makes the relationship between tea and material perception especially visible. Zhang Dai’s tea writings treat the tea encounter as a sequence of small observations rather than as an abstract declaration of cultural value. Scholarship on his vignettes emphasizes their concrete, personal, and experiential qualities in the context of changing late Ming tea culture (Im 2012). Aesthetic judgment is embedded in details of preparation, taste, equipment, timing, and the character of participants.</w:t>
      </w:r>
    </w:p>
    <w:p>
      <w:r>
        <w:t>What matters analytically is not simply that Zhang Dai values tea. The prose converts sensory discrimination into a literary event. A flavor, fragrance, cup, or gesture becomes memorable because it is positioned within a scene. Material affordances are therefore also narrative affordances: the properties of things help generate pacing, characterization, social recognition, and atmosphere. This is consistent with Wai-yee Li’s broader account of late imperial Chinese material culture, in which things become sites of pleasure, authenticity, value, and loss (Li 2022).</w:t>
      </w:r>
    </w:p>
    <w:p>
      <w:r>
        <w:t>Literary representation can thus be treated as an active form of material mediation. A text does not merely report an existing sensory hierarchy. By repeatedly directing readers toward particular distinctions, it helps create a community of observers who know what counts as meaningful. In this sense literature can function as an “attention technology”: it selects, orders, and names sensory details that might otherwise remain tacit.</w:t>
      </w:r>
    </w:p>
    <w:p>
      <w:pPr>
        <w:pStyle w:val="Heading2"/>
      </w:pPr>
      <w:r>
        <w:t>3.3 Tea and the aestheticization of everyday objects</w:t>
      </w:r>
    </w:p>
    <w:p>
      <w:r>
        <w:t>The Qing period further demonstrates how material culture enters literary representation. Scholarship on The Dream of the Red Chamber has drawn attention to the density of object description and to the ways everyday things become narrative and aesthetic media (Kim 2021). Tea appears within etiquette, bodily routine, domestic space, and social differentiation. Teaching materials on the novel’s daily life likewise note that tea participates in ordinary bodily practices as well as formal encounters (Kim 2021).</w:t>
      </w:r>
    </w:p>
    <w:p>
      <w:r>
        <w:t>The literary world of objects therefore complicates the distinction between ordinary use and aesthetic appreciation. Aestheticization does not necessarily require a rare or ceremonial object. Ordinary things become aesthetically charged when attention to their placement, handling, provenance, or sensory qualities is intensified. Tea can operate as a small-scale technology of social perception through which characters register familiarity, refinement, intimacy, and difference.</w:t>
      </w:r>
    </w:p>
    <w:p>
      <w:r>
        <w:t>This has a direct implication for affordance theory. Texts can make certain affordances culturally salient by teaching readers how to perceive them. Literary mediation is consequently not merely representational; it participates in the production of aesthetic relevance.</w:t>
      </w:r>
    </w:p>
    <w:p>
      <w:pPr>
        <w:pStyle w:val="Heading1"/>
      </w:pPr>
      <w:r>
        <w:t>4. Japan: Chanoyu and the Choreography of Material Attention</w:t>
      </w:r>
    </w:p>
    <w:p>
      <w:pPr>
        <w:pStyle w:val="Heading2"/>
      </w:pPr>
      <w:r>
        <w:t>4.1 The tea room as an ecological arrangement</w:t>
      </w:r>
    </w:p>
    <w:p>
      <w:r>
        <w:t>In Japan, chanoyu offers a clear example of tea as a material ecology. The practice is organized not only around preparing and drinking matcha but around a deliberate arrangement of utensils, architecture, movement, seasonal references, and interpersonal behavior. The Metropolitan Museum of Art describes tea gatherings as unique assemblages in which tea bowls, water jars, flower containers, and other utensils are valued both for practical use and for aesthetic qualities; guests are expected to attend to the warmth, color, and physical character of the bowl (Metropolitan Museum of Art 2011).</w:t>
      </w:r>
    </w:p>
    <w:p>
      <w:r>
        <w:t>This structure makes the teahouse a sensory apparatus. The room regulates distance and bodily movement. The guest handles a bowl whose weight and surface are perceived before and during drinking. The color of matcha appears in relation to clay or glaze. The selection and sequencing of objects establish contrast and anticipation. The aesthetic event is therefore a temporary composition of materials, bodies, light, sound, and action rather than the contemplation of one isolated artwork.</w:t>
      </w:r>
    </w:p>
    <w:p>
      <w:r>
        <w:t>Tanehisa Otabe describes the tea ceremony as an aestheticization of ordinary drinking, in which beauty arises through the disciplined treatment of small events and the performance of an everyday action as a way of practice (Otabe 2023). This formulation supports the chapter’s move away from “consumption” as the sole explanatory category.</w:t>
      </w:r>
    </w:p>
    <w:p>
      <w:pPr>
        <w:pStyle w:val="Heading2"/>
      </w:pPr>
      <w:r>
        <w:t>4.2 Ceramic material and the value of imperfection</w:t>
      </w:r>
    </w:p>
    <w:p>
      <w:r>
        <w:t>The history of Japanese tea ceramics makes material affordances visible because clay, glaze, firing, and surface became central to connoisseurial description. Oxford Research Encyclopedia notes that tea-related ceramics acquired aesthetic value through shape, clay, glaze, provenance, and use, while the formal practices of chanoyu influenced the descriptive language through which vessels were judged (Jung 2025). Material was therefore not merely the substrate of an artwork; it was part of the object’s historical and sensory identity.</w:t>
      </w:r>
    </w:p>
    <w:p>
      <w:r>
        <w:t>Museum documentation similarly shows that rustic agricultural wares could be revalued in tea contexts. Irregular surfaces, ash deposits, asymmetry, rough textures, and traces of firing could become desirable qualities within a tea aesthetic that valued austerity, spontaneity, and apparent artlessness (Metropolitan Museum of Art 2011). Tea communities eventually influenced kiln production itself, encouraging potters to anticipate and reproduce valued effects. Cultural standards shaped production, while material variability shaped the vocabulary of judgment.</w:t>
      </w:r>
    </w:p>
    <w:p>
      <w:r>
        <w:t>The result is neither simple material determinism nor pure cultural construction. A rough glaze does not automatically mean “wabi.” Rather, a rough surface affords tactile and visual experiences that may be culturally framed as desirable. Once a community values those experiences, production practices can reorganize around them. Material affordances are therefore dynamic: they can stabilize traditions while enabling innovation.</w:t>
      </w:r>
    </w:p>
    <w:p>
      <w:pPr>
        <w:pStyle w:val="Heading2"/>
      </w:pPr>
      <w:r>
        <w:t>4.3 Okakura and Tanizaki: literary mediation of sensory aesthetics</w:t>
      </w:r>
    </w:p>
    <w:p>
      <w:r>
        <w:t>Modern Japanese literary essays provide another layer of mediation. Kakuzō Okakura’s The Book of Tea (1906) translated tea practice into a philosophical and aesthetic language for an international readership. The text connects tea with simplicity, harmony, everyday life, and appreciation of imperfection (Okakura 1906). Its historical value for the present argument lies in showing how tea practice can become a conceptual vehicle through literary discourse.</w:t>
      </w:r>
    </w:p>
    <w:p>
      <w:r>
        <w:t>Tanizaki Jun’ichirō’s In Praise of Shadows (1933) offers a different but related example. Tanizaki’s attention to dimness, reflective surfaces, lacquer, wood, and the play of light in interiors foregrounds the sensory conditions within which objects become legible. Scholarship cautions against treating the essay as a transparent description of timeless Japanese essence and instead situates it within modern debates about culture and Westernization (Long 2009; Gardiner 2024). Precisely for this reason, the essay is useful here: it demonstrates cultural mediation in action.</w:t>
      </w:r>
    </w:p>
    <w:p>
      <w:r>
        <w:t>Literary essays can function as technologies of attention. They give names and narratives to sensory possibilities, direct readers toward particular materials, and create vocabularies for aesthetic discrimination. The literary mediation of tea therefore operates not after material experience but within the process through which that experience becomes culturally recognizable.</w:t>
      </w:r>
    </w:p>
    <w:p>
      <w:pPr>
        <w:pStyle w:val="Heading1"/>
      </w:pPr>
      <w:r>
        <w:t>5. Contemporary Re-Mediation: Tea Beyond the Ritual Space</w:t>
      </w:r>
    </w:p>
    <w:p>
      <w:r>
        <w:t>The material and sensory approach also helps explain why tea remains culturally productive outside classical tea ceremony. Contemporary research in China shows that tea rooms can function as communicative environments in changing urban communities. Zhao’s study of an urban village in Shandong argues that tea-related objects and tearoom practices mediate communication as a relocated community undergoes urbanization (Zhao 2025). The significance of tea here is not reducible to heritage preservation: its material arrangement helps create a recognizable social environment for interaction.</w:t>
      </w:r>
    </w:p>
    <w:p>
      <w:r>
        <w:t>Recent work on tea across China and Taiwan also emphasizes sensory, material, and affective dimensions, including taste as a site where place, authenticity, and cultural knowledge are produced (Braga 2026). Such work reinforces the argument that tea’s materiality is not merely a background to cultural meaning. Taste, aroma, texture, and provenance can actively organize how places and identities are perceived.</w:t>
      </w:r>
    </w:p>
    <w:p>
      <w:r>
        <w:t>Contemporary sensory research on teaware extends this argument experimentally. If the material properties and semantic associations of vessels can influence sensory discrimination and hedonic responses, then the “same tea” is not experientially identical across all material settings (Spence et al. 2024). The point is not that material properties determine taste, but that the drinking event is distributed across tea, vessel, body, environment, and expectation.</w:t>
      </w:r>
    </w:p>
    <w:p>
      <w:r>
        <w:t>Contemporary commercialization similarly packages material possibilities into sensory narratives. Tea producers and retailers may foreground leaf shape, terroir, vessel choice, brewing temperature, color, aroma, sound, or visual imagery to construct distinctions around a product. In this setting, aestheticization is partly a reorganization of attention: physical qualities are selected, amplified, narrated, and translated into culturally meaningful differences.</w:t>
      </w:r>
    </w:p>
    <w:p>
      <w:pPr>
        <w:pStyle w:val="Heading1"/>
      </w:pPr>
      <w:r>
        <w:t>6. China and Japan: Comparative Patterns of Cultural Mediation</w:t>
      </w:r>
    </w:p>
    <w:p>
      <w:r>
        <w:t>The Chinese and Japanese cases should not be collapsed into a single account of “East Asian tea aesthetics.” Their historical trajectories differ, as do the institutional settings in which tea became a cultivated practice. A comparison is nevertheless useful when it is organized around mechanisms rather than civilizational stereotypes. In both contexts, tea becomes aesthetically meaningful through the coordination of material properties, sensory training, literary or visual mediation, and social practice.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after="0"/>
            </w:pPr>
            <w:r>
              <w:rPr>
                <w:rFonts w:ascii="Times New Roman" w:hAnsi="Times New Roman"/>
                <w:sz w:val="20"/>
              </w:rPr>
              <w:t>Dimension</w:t>
            </w:r>
          </w:p>
        </w:tc>
        <w:tc>
          <w:tcPr>
            <w:tcW w:type="dxa" w:w="3120"/>
            <w:vAlign w:val="center"/>
          </w:tcPr>
          <w:p>
            <w:pPr>
              <w:spacing w:after="0"/>
            </w:pPr>
            <w:r>
              <w:rPr>
                <w:rFonts w:ascii="Times New Roman" w:hAnsi="Times New Roman"/>
                <w:sz w:val="20"/>
              </w:rPr>
              <w:t>China</w:t>
            </w:r>
          </w:p>
        </w:tc>
        <w:tc>
          <w:tcPr>
            <w:tcW w:type="dxa" w:w="3120"/>
            <w:vAlign w:val="center"/>
          </w:tcPr>
          <w:p>
            <w:pPr>
              <w:spacing w:after="0"/>
            </w:pPr>
            <w:r>
              <w:rPr>
                <w:rFonts w:ascii="Times New Roman" w:hAnsi="Times New Roman"/>
                <w:sz w:val="20"/>
              </w:rPr>
              <w:t>Japan</w:t>
            </w:r>
          </w:p>
        </w:tc>
      </w:tr>
      <w:tr>
        <w:tc>
          <w:tcPr>
            <w:tcW w:type="dxa" w:w="3120"/>
            <w:vAlign w:val="center"/>
          </w:tcPr>
          <w:p>
            <w:pPr>
              <w:spacing w:after="0"/>
            </w:pPr>
            <w:r>
              <w:rPr>
                <w:rFonts w:ascii="Times New Roman" w:hAnsi="Times New Roman"/>
                <w:sz w:val="20"/>
              </w:rPr>
              <w:t>Material focus</w:t>
            </w:r>
          </w:p>
        </w:tc>
        <w:tc>
          <w:tcPr>
            <w:tcW w:type="dxa" w:w="3120"/>
            <w:vAlign w:val="center"/>
          </w:tcPr>
          <w:p>
            <w:pPr>
              <w:spacing w:after="0"/>
            </w:pPr>
            <w:r>
              <w:rPr>
                <w:rFonts w:ascii="Times New Roman" w:hAnsi="Times New Roman"/>
                <w:sz w:val="20"/>
              </w:rPr>
              <w:t>Leaf, water, vessel, brewing implements, garden and domestic setting</w:t>
            </w:r>
          </w:p>
        </w:tc>
        <w:tc>
          <w:tcPr>
            <w:tcW w:type="dxa" w:w="3120"/>
            <w:vAlign w:val="center"/>
          </w:tcPr>
          <w:p>
            <w:pPr>
              <w:spacing w:after="0"/>
            </w:pPr>
            <w:r>
              <w:rPr>
                <w:rFonts w:ascii="Times New Roman" w:hAnsi="Times New Roman"/>
                <w:sz w:val="20"/>
              </w:rPr>
              <w:t>Bowl, jar, kettle, scoop, architecture, garden, textiles, light</w:t>
            </w:r>
          </w:p>
        </w:tc>
      </w:tr>
      <w:tr>
        <w:tc>
          <w:tcPr>
            <w:tcW w:type="dxa" w:w="3120"/>
            <w:vAlign w:val="center"/>
          </w:tcPr>
          <w:p>
            <w:pPr>
              <w:spacing w:after="0"/>
            </w:pPr>
            <w:r>
              <w:rPr>
                <w:rFonts w:ascii="Times New Roman" w:hAnsi="Times New Roman"/>
                <w:sz w:val="20"/>
              </w:rPr>
              <w:t>Sensory emphasis</w:t>
            </w:r>
          </w:p>
        </w:tc>
        <w:tc>
          <w:tcPr>
            <w:tcW w:type="dxa" w:w="3120"/>
            <w:vAlign w:val="center"/>
          </w:tcPr>
          <w:p>
            <w:pPr>
              <w:spacing w:after="0"/>
            </w:pPr>
            <w:r>
              <w:rPr>
                <w:rFonts w:ascii="Times New Roman" w:hAnsi="Times New Roman"/>
                <w:sz w:val="20"/>
              </w:rPr>
              <w:t>Taste, aroma, water quality, visual clarity, season and place</w:t>
            </w:r>
          </w:p>
        </w:tc>
        <w:tc>
          <w:tcPr>
            <w:tcW w:type="dxa" w:w="3120"/>
            <w:vAlign w:val="center"/>
          </w:tcPr>
          <w:p>
            <w:pPr>
              <w:spacing w:after="0"/>
            </w:pPr>
            <w:r>
              <w:rPr>
                <w:rFonts w:ascii="Times New Roman" w:hAnsi="Times New Roman"/>
                <w:sz w:val="20"/>
              </w:rPr>
              <w:t>Touch, warmth, color, texture, sound, light, spatial movement</w:t>
            </w:r>
          </w:p>
        </w:tc>
      </w:tr>
      <w:tr>
        <w:tc>
          <w:tcPr>
            <w:tcW w:type="dxa" w:w="3120"/>
            <w:vAlign w:val="center"/>
          </w:tcPr>
          <w:p>
            <w:pPr>
              <w:spacing w:after="0"/>
            </w:pPr>
            <w:r>
              <w:rPr>
                <w:rFonts w:ascii="Times New Roman" w:hAnsi="Times New Roman"/>
                <w:sz w:val="20"/>
              </w:rPr>
              <w:t>Literary mediation</w:t>
            </w:r>
          </w:p>
        </w:tc>
        <w:tc>
          <w:tcPr>
            <w:tcW w:type="dxa" w:w="3120"/>
            <w:vAlign w:val="center"/>
          </w:tcPr>
          <w:p>
            <w:pPr>
              <w:spacing w:after="0"/>
            </w:pPr>
            <w:r>
              <w:rPr>
                <w:rFonts w:ascii="Times New Roman" w:hAnsi="Times New Roman"/>
                <w:sz w:val="20"/>
              </w:rPr>
              <w:t>Connoisseurial prose, tea writing, poetry, vignette, fiction</w:t>
            </w:r>
          </w:p>
        </w:tc>
        <w:tc>
          <w:tcPr>
            <w:tcW w:type="dxa" w:w="3120"/>
            <w:vAlign w:val="center"/>
          </w:tcPr>
          <w:p>
            <w:pPr>
              <w:spacing w:after="0"/>
            </w:pPr>
            <w:r>
              <w:rPr>
                <w:rFonts w:ascii="Times New Roman" w:hAnsi="Times New Roman"/>
                <w:sz w:val="20"/>
              </w:rPr>
              <w:t>Tea philosophy, aesthetic essays, poetry, descriptive practice</w:t>
            </w:r>
          </w:p>
        </w:tc>
      </w:tr>
      <w:tr>
        <w:tc>
          <w:tcPr>
            <w:tcW w:type="dxa" w:w="3120"/>
            <w:vAlign w:val="center"/>
          </w:tcPr>
          <w:p>
            <w:pPr>
              <w:spacing w:after="0"/>
            </w:pPr>
            <w:r>
              <w:rPr>
                <w:rFonts w:ascii="Times New Roman" w:hAnsi="Times New Roman"/>
                <w:sz w:val="20"/>
              </w:rPr>
              <w:t>Visual/material mediation</w:t>
            </w:r>
          </w:p>
        </w:tc>
        <w:tc>
          <w:tcPr>
            <w:tcW w:type="dxa" w:w="3120"/>
            <w:vAlign w:val="center"/>
          </w:tcPr>
          <w:p>
            <w:pPr>
              <w:spacing w:after="0"/>
            </w:pPr>
            <w:r>
              <w:rPr>
                <w:rFonts w:ascii="Times New Roman" w:hAnsi="Times New Roman"/>
                <w:sz w:val="20"/>
              </w:rPr>
              <w:t>Tea paintings, literati objects, utensils, domestic displays</w:t>
            </w:r>
          </w:p>
        </w:tc>
        <w:tc>
          <w:tcPr>
            <w:tcW w:type="dxa" w:w="3120"/>
            <w:vAlign w:val="center"/>
          </w:tcPr>
          <w:p>
            <w:pPr>
              <w:spacing w:after="0"/>
            </w:pPr>
            <w:r>
              <w:rPr>
                <w:rFonts w:ascii="Times New Roman" w:hAnsi="Times New Roman"/>
                <w:sz w:val="20"/>
              </w:rPr>
              <w:t>Chanoyu assemblages, ceramics, utensils, tea-room design</w:t>
            </w:r>
          </w:p>
        </w:tc>
      </w:tr>
      <w:tr>
        <w:tc>
          <w:tcPr>
            <w:tcW w:type="dxa" w:w="3120"/>
            <w:vAlign w:val="center"/>
          </w:tcPr>
          <w:p>
            <w:pPr>
              <w:spacing w:after="0"/>
            </w:pPr>
            <w:r>
              <w:rPr>
                <w:rFonts w:ascii="Times New Roman" w:hAnsi="Times New Roman"/>
                <w:sz w:val="20"/>
              </w:rPr>
              <w:t>Aesthetic mechanism</w:t>
            </w:r>
          </w:p>
        </w:tc>
        <w:tc>
          <w:tcPr>
            <w:tcW w:type="dxa" w:w="3120"/>
            <w:vAlign w:val="center"/>
          </w:tcPr>
          <w:p>
            <w:pPr>
              <w:spacing w:after="0"/>
            </w:pPr>
            <w:r>
              <w:rPr>
                <w:rFonts w:ascii="Times New Roman" w:hAnsi="Times New Roman"/>
                <w:sz w:val="20"/>
              </w:rPr>
              <w:t>Discrimination, association, connoisseurship</w:t>
            </w:r>
          </w:p>
        </w:tc>
        <w:tc>
          <w:tcPr>
            <w:tcW w:type="dxa" w:w="3120"/>
            <w:vAlign w:val="center"/>
          </w:tcPr>
          <w:p>
            <w:pPr>
              <w:spacing w:after="0"/>
            </w:pPr>
            <w:r>
              <w:rPr>
                <w:rFonts w:ascii="Times New Roman" w:hAnsi="Times New Roman"/>
                <w:sz w:val="20"/>
              </w:rPr>
              <w:t>Choreography, restraint, contrast, use</w:t>
            </w:r>
          </w:p>
        </w:tc>
      </w:tr>
    </w:tbl>
    <w:p>
      <w:r>
        <w:t>One difference lies in the degree to which aesthetic judgment is attached to connoisseurial discrimination. Late imperial Chinese sources connect tea with literati culture, poetry, painting, tea texts, and knowledge of place and materials (Benn 2015; Duan 2026; Li 2022). Japan’s chanoyu offers a more formalized choreography in which deliberate sequencing and handling of utensils become explicit performances of aesthetic attention (Jung 2025; Otabe 2023). These are differences of emphasis and institutionalization, not evidence of fundamentally separate sensory worlds.</w:t>
      </w:r>
    </w:p>
    <w:p>
      <w:r>
        <w:t>A second difference concerns the vessel. In both cultures, teaware matters, but Japanese tea practice makes tactile and visual inspection of the vessel particularly explicit. The bowl is handled, turned, examined, and situated within a curated ensemble, while irregularity and traces of firing can become central to aesthetic evaluation (Metropolitan Museum of Art 2011). Chinese tea culture also invested heavily in vessels and tools, including Yixing ware, but often placed them within broader literati, garden, domestic, and connoisseurial ecologies (Benn 2015; Jiang 2023).</w:t>
      </w:r>
    </w:p>
    <w:p>
      <w:r>
        <w:t>A third similarity is mediation. Neither case supports a simple idea of “natural tea aesthetics.” Freshness, simplicity, subtle fragrance, rustic texture, and authenticity are culturally learned categories. Texts, images, rituals, communities of practice, and markets create conventions through which material qualities become legible as desirable. Material affordance is therefore best understood as culturally modulated possibility rather than timeless essence.</w:t>
      </w:r>
    </w:p>
    <w:p>
      <w:pPr>
        <w:pStyle w:val="Heading1"/>
      </w:pPr>
      <w:r>
        <w:t>7. A Model of Tea Aestheticization</w:t>
      </w:r>
    </w:p>
    <w:p>
      <w:r>
        <w:t>The cases suggest a model with four interdependent levels. The first is material configuration: leaf, water, vessel, heat, texture, aroma, color, architecture, and other physical conditions. The second is sensory encounter: seeing, smelling, tasting, touching, hearing, and moving. The third is cultural mediation: naming, comparison, ritualization, literary description, image-making, connoisseurship, teaching, and commercial framing. The fourth is aesthetic valuation: judgments of beauty, refinement, authenticity, harmony, novelty, simplicity, or distinction.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pPr>
            <w:r>
              <w:rPr>
                <w:rFonts w:ascii="Times New Roman" w:hAnsi="Times New Roman"/>
                <w:sz w:val="20"/>
              </w:rPr>
              <w:t>1. Material configuration</w:t>
            </w:r>
          </w:p>
        </w:tc>
        <w:tc>
          <w:tcPr>
            <w:tcW w:type="dxa" w:w="4680"/>
          </w:tcPr>
          <w:p>
            <w:pPr>
              <w:spacing w:after="0"/>
            </w:pPr>
            <w:r>
              <w:rPr>
                <w:rFonts w:ascii="Times New Roman" w:hAnsi="Times New Roman"/>
                <w:sz w:val="20"/>
              </w:rPr>
              <w:t>Physical properties and states of tea and associated objects</w:t>
            </w:r>
          </w:p>
        </w:tc>
      </w:tr>
      <w:tr>
        <w:tc>
          <w:tcPr>
            <w:tcW w:type="dxa" w:w="4680"/>
          </w:tcPr>
          <w:p>
            <w:pPr>
              <w:spacing w:after="0"/>
            </w:pPr>
            <w:r>
              <w:rPr>
                <w:rFonts w:ascii="Times New Roman" w:hAnsi="Times New Roman"/>
                <w:sz w:val="20"/>
              </w:rPr>
              <w:t>2. Sensory encounter</w:t>
            </w:r>
          </w:p>
        </w:tc>
        <w:tc>
          <w:tcPr>
            <w:tcW w:type="dxa" w:w="4680"/>
          </w:tcPr>
          <w:p>
            <w:pPr>
              <w:spacing w:after="0"/>
            </w:pPr>
            <w:r>
              <w:rPr>
                <w:rFonts w:ascii="Times New Roman" w:hAnsi="Times New Roman"/>
                <w:sz w:val="20"/>
              </w:rPr>
              <w:t>Embodied perception and practical interaction</w:t>
            </w:r>
          </w:p>
        </w:tc>
      </w:tr>
      <w:tr>
        <w:tc>
          <w:tcPr>
            <w:tcW w:type="dxa" w:w="4680"/>
          </w:tcPr>
          <w:p>
            <w:pPr>
              <w:spacing w:after="0"/>
            </w:pPr>
            <w:r>
              <w:rPr>
                <w:rFonts w:ascii="Times New Roman" w:hAnsi="Times New Roman"/>
                <w:sz w:val="20"/>
              </w:rPr>
              <w:t>3. Cultural mediation</w:t>
            </w:r>
          </w:p>
        </w:tc>
        <w:tc>
          <w:tcPr>
            <w:tcW w:type="dxa" w:w="4680"/>
          </w:tcPr>
          <w:p>
            <w:pPr>
              <w:spacing w:after="0"/>
            </w:pPr>
            <w:r>
              <w:rPr>
                <w:rFonts w:ascii="Times New Roman" w:hAnsi="Times New Roman"/>
                <w:sz w:val="20"/>
              </w:rPr>
              <w:t>Texts, images, rituals, expertise, memory, and social norms</w:t>
            </w:r>
          </w:p>
        </w:tc>
      </w:tr>
      <w:tr>
        <w:tc>
          <w:tcPr>
            <w:tcW w:type="dxa" w:w="4680"/>
          </w:tcPr>
          <w:p>
            <w:pPr>
              <w:spacing w:after="0"/>
            </w:pPr>
            <w:r>
              <w:rPr>
                <w:rFonts w:ascii="Times New Roman" w:hAnsi="Times New Roman"/>
                <w:sz w:val="20"/>
              </w:rPr>
              <w:t>4. Aesthetic valuation</w:t>
            </w:r>
          </w:p>
        </w:tc>
        <w:tc>
          <w:tcPr>
            <w:tcW w:type="dxa" w:w="4680"/>
          </w:tcPr>
          <w:p>
            <w:pPr>
              <w:spacing w:after="0"/>
            </w:pPr>
            <w:r>
              <w:rPr>
                <w:rFonts w:ascii="Times New Roman" w:hAnsi="Times New Roman"/>
                <w:sz w:val="20"/>
              </w:rPr>
              <w:t>Judgments that establish what counts as beautiful, refined, authentic, or desirable</w:t>
            </w:r>
          </w:p>
        </w:tc>
      </w:tr>
    </w:tbl>
    <w:p>
      <w:r>
        <w:t>The model is not linear in practice. Cultural expectations can shape how material properties are perceived; new forms of perception can change the production of objects; aesthetic judgments can feed back into markets and manufacturing. The relationship is recursive. Yet the four-level framework helps distinguish analytical operations that are often conflated. A tea’s color is not itself an aesthetic judgment. The sensory recognition of color is not itself a cultural value. A cultural narrative about “clarity” or “freshness” is not identical to the material condition it describes. Aestheticization occurs when these layers are linked into a stable or contested practice of valuation.</w:t>
      </w:r>
    </w:p>
    <w:p>
      <w:r>
        <w:t>The model also clarifies the value of literary and visual analysis. Literary texts can stabilize sensory vocabularies; paintings and photographs can foreground arrangements of vessels, bodies, landscapes, and leaves; ritual manuals can prescribe gestures; museums can reframe utilitarian objects as artworks. Each medium reorganizes attention and therefore changes which affordances become salient. Aesthetic mediation is consequently not a secondary representation placed after material experience. It is one of the mechanisms through which material experience becomes culturally recognizable.</w:t>
      </w:r>
    </w:p>
    <w:p>
      <w:pPr>
        <w:pStyle w:val="Heading1"/>
      </w:pPr>
      <w:r>
        <w:t>8. Conclusion</w:t>
      </w:r>
    </w:p>
    <w:p>
      <w:r>
        <w:t>Tea becomes aesthetically meaningful through an interaction of matter, sensation, practice, and mediation. A focus on cultural consumption alone risks treating the material object as a stable carrier of pre-existing meanings. The material-affordance approach instead asks how physical qualities become opportunities for perception and action, and how those opportunities are culturally learned, organized, and valued. In China, literati writing, connoisseurship, painting, and teaware demonstrate how tea can become a densely mediated object of refinement. In Japan, chanoyu makes the material choreography of tea especially visible through the coordinated use of bowls, jars, architecture, gesture, light, and seasonal arrangement. Contemporary practices show that these dynamics remain active as tea moves among ritual, domestic, communicative, commercial, and visual environments.</w:t>
      </w:r>
    </w:p>
    <w:p>
      <w:r>
        <w:t>The chapter’s main contribution is conceptual as well as comparative. “Material affordances” provides a vocabulary for connecting physical properties to sensory possibilities without reducing either matter or culture to the other. Tea is not aesthetically powerful simply because a culture declares it meaningful. Nor is aesthetic meaning mechanically contained in a leaf, a bowl, or an aroma. Meaning emerges through situated encounters in which material qualities, embodied attention, cultural knowledge, and forms of mediation reinforce or challenge one another.</w:t>
      </w:r>
    </w:p>
    <w:p>
      <w:r>
        <w:t>This perspective also opens a methodological path. The study of tea can bring literary criticism into conversation with material culture, sensory studies, visual analysis, and the history of everyday life. It encourages researchers to ask not only what tea symbolizes, but what tea enables people to notice, touch, taste, remember, stage, describe, and value. Such questions make it possible to understand tea not merely as a consumed substance, but as a medium through which aesthetic worlds are materially assembled.</w:t>
      </w:r>
    </w:p>
    <w:p>
      <w:pPr>
        <w:pStyle w:val="Heading1"/>
      </w:pPr>
      <w:r>
        <w:t>References</w:t>
      </w:r>
    </w:p>
    <w:p>
      <w:pPr>
        <w:ind w:left="360" w:hanging="360"/>
      </w:pPr>
      <w:r>
        <w:t>Benn, James A. 2015. Tea in China: A Religious and Cultural History. Honolulu: University of Hawai‘i Press. doi:10.21313/hawaii/9780824839635.001.0001.</w:t>
      </w:r>
    </w:p>
    <w:p>
      <w:pPr>
        <w:ind w:left="360" w:hanging="360"/>
      </w:pPr>
      <w:r>
        <w:t>Duan, Xiaolin. 2026. “Tea and Place: The Evolving Discussion about Terroir in Song China.” Journal of Chinese History 10 (Special Issue 2: History of Chinese Food Culture). Cambridge University Press. Published online April 14, 2026.</w:t>
      </w:r>
    </w:p>
    <w:p>
      <w:pPr>
        <w:ind w:left="360" w:hanging="360"/>
      </w:pPr>
      <w:r>
        <w:t>Gardiner, Michael. 2024. “Tanizaki Jun’ichirō’s In Praise of Shadows and Critical Transparency.” Textual Practice 38 (7): 1144–1166. doi:10.1080/0950236X.2023.2243898.</w:t>
      </w:r>
    </w:p>
    <w:p>
      <w:pPr>
        <w:ind w:left="360" w:hanging="360"/>
      </w:pPr>
      <w:r>
        <w:t>Gibson, James J. 1986. The Ecological Approach to Visual Perception. Hillsdale, NJ: Lawrence Erlbaum Associates.</w:t>
      </w:r>
    </w:p>
    <w:p>
      <w:pPr>
        <w:ind w:left="360" w:hanging="360"/>
      </w:pPr>
      <w:r>
        <w:t>Howes, David, and Constance Classen. 2014. Ways of Sensing: Understanding the Senses in Society. London: Routledge.</w:t>
      </w:r>
    </w:p>
    <w:p>
      <w:pPr>
        <w:ind w:left="360" w:hanging="360"/>
      </w:pPr>
      <w:r>
        <w:t>Im, Jinho. 2012. “The Progression of the Tea Culture of the Ming Dynasty, and the Vignette of Zhang Dai.” Oegukhakyeon-gu 20: 93–118. doi:10.15755/jfs.2012..20.93.</w:t>
      </w:r>
    </w:p>
    <w:p>
      <w:pPr>
        <w:ind w:left="360" w:hanging="360"/>
      </w:pPr>
      <w:r>
        <w:t>Ingold, Tim. 2007. “Materials against Materiality.” Archaeological Dialogues 14 (1): 1–16. doi:10.1017/S1380203807002127.</w:t>
      </w:r>
    </w:p>
    <w:p>
      <w:pPr>
        <w:ind w:left="360" w:hanging="360"/>
      </w:pPr>
      <w:r>
        <w:t>Jiang, Hong. 2023. “Tea as Nature, Tea as Power in Early Modern China: Tea and the Literati in the Ming Dynasty.” Asian Culture and History 15 (1): 1–10. doi:10.5539/ach.v15n1p1.</w:t>
      </w:r>
    </w:p>
    <w:p>
      <w:pPr>
        <w:ind w:left="360" w:hanging="360"/>
      </w:pPr>
      <w:r>
        <w:t>Jung, Sol. 2025. “Japanese Tea Culture and Ceramics: Practice, Patronage, and Aesthetics.” Oxford Research Encyclopedia of Food Studies. Oxford University Press. doi:10.1093/acrefore/9780197762530.013.171.</w:t>
      </w:r>
    </w:p>
    <w:p>
      <w:pPr>
        <w:ind w:left="360" w:hanging="360"/>
      </w:pPr>
      <w:r>
        <w:t>Kim, Suhyun. 2021. “The Research of Aesthetic Object Culture in Qing Dynasty: Focused on the Representation of Object in The Dream of Red Chamber (紅樓夢).” Chinese Novels 64: 23–55. doi:10.17004/jrcn.2021..64.002.</w:t>
      </w:r>
    </w:p>
    <w:p>
      <w:pPr>
        <w:ind w:left="360" w:hanging="360"/>
      </w:pPr>
      <w:r>
        <w:t>Li, Wai-yee. 2022. The Promise and Peril of Things: Literature and Material Culture in Late Imperial China. New York: Columbia University Press.</w:t>
      </w:r>
    </w:p>
    <w:p>
      <w:pPr>
        <w:ind w:left="360" w:hanging="360"/>
      </w:pPr>
      <w:r>
        <w:t>Long, Margherita. 2009. “Suffering Through Japanese Culturalism: Tanizaki’s Aesthetic Essays and the Inexorable Western Superego.” In This Perversion Called Love: Reading Tanizaki, Feminist Theory, and Freud, 13–39. Stanford: Stanford University Press. doi:10.11126/stanford/9780804772518.003.0002.</w:t>
      </w:r>
    </w:p>
    <w:p>
      <w:pPr>
        <w:ind w:left="360" w:hanging="360"/>
      </w:pPr>
      <w:r>
        <w:t>Okakura, Kakuzō. 1906. The Book of Tea. New York: Duffield and Company. Public-domain edition available through Project Gutenberg, eBook no. 769.</w:t>
      </w:r>
    </w:p>
    <w:p>
      <w:pPr>
        <w:ind w:left="360" w:hanging="360"/>
      </w:pPr>
      <w:r>
        <w:t>Otabe, Tanehisa. 2023. “Dô (Dao) in the Practice of Art: Everyday Aesthetic Life in Japan Through the Japanese Tea Ceremony.” In Comparative Everyday Aesthetics, edited by Eva Kit Wah Man and Jeffrey Petts, 169–182. Amsterdam: Amsterdam University Press. doi:10.1017/9789048554508.011.</w:t>
      </w:r>
    </w:p>
    <w:p>
      <w:pPr>
        <w:ind w:left="360" w:hanging="360"/>
      </w:pPr>
      <w:r>
        <w:t>Pavlyuchenko, Roman, and Delphine Dion. 2025. “How the Materials of Objects Shape Consumption: An Affordance Theory Perspective.” Journal of Consumer Research 52 (3): 459–479. doi:10.1093/jcr/ucae064.</w:t>
      </w:r>
    </w:p>
    <w:p>
      <w:pPr>
        <w:ind w:left="360" w:hanging="360"/>
      </w:pPr>
      <w:r>
        <w:t>Spence, Charles, et al. 2024. “The Multisensory Science and Aesthetics of Teaware.” International Journal of Gastronomy and Food Science 38: 101041. doi:10.1016/j.ijgfs.2024.101041.</w:t>
      </w:r>
    </w:p>
    <w:p>
      <w:pPr>
        <w:ind w:left="360" w:hanging="360"/>
      </w:pPr>
      <w:r>
        <w:t>Woodward, Ian, et al. 2023. “Cultural Objects, Material Culture, and Materiality.” Annual Review of Sociology 49. doi:10.1146/annurev-soc-031021-041439.</w:t>
      </w:r>
    </w:p>
    <w:p>
      <w:pPr>
        <w:ind w:left="360" w:hanging="360"/>
      </w:pPr>
      <w:r>
        <w:t>Zhao, Zihao. 2025. “Tea as a Communicative Medium: Materiality and the Everyday Life in Shandong Province.” Communication and Critical/Cultural Studies 23 (1): 36–54. doi:10.1080/14791420.2025.2593605.</w:t>
      </w:r>
    </w:p>
    <w:p>
      <w:pPr>
        <w:ind w:left="360" w:hanging="360"/>
      </w:pPr>
      <w:r>
        <w:t>Braga, Thiago. 2026. “Toward a Critical Geopolitics of Tea Culture across China and Taiwan.” Food, Culture &amp; Society 29 (2): 453–475. doi:10.1080/15528014.2025.2532773.</w:t>
      </w:r>
    </w:p>
    <w:p>
      <w:pPr>
        <w:ind w:left="360" w:hanging="360"/>
      </w:pPr>
      <w:r>
        <w:t>The Metropolitan Museum of Art. 2011. “The Japanese Tea Ceremony.” Heilbrunn Timeline of Art History / Metropolitan Museum of Art. https://www.metmuseum.org/essays/the-japanese-tea-ceremony.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Vivien Jiaqian Zhu — IntechOpen Chapter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Aestheticizing the Leaf: Material Affordances, Sensory Experience, and Cultural Mediation of Tea in East Asia</dc:title>
  <dc:subject>Working chapter manuscript for IntechOpen</dc:subject>
  <dc:creator>Vivien Jiaqian Zhu</dc:creator>
  <cp:keywords/>
  <dc:description>Working full chapter draft; transfer to the current IntechOpen Author Template and verify all citations/permissions before submission.</dc:description>
  <cp:lastModifiedBy/>
  <cp:revision>1</cp:revision>
  <dcterms:created xsi:type="dcterms:W3CDTF">2013-12-23T23:15:00Z</dcterms:created>
  <dcterms:modified xsi:type="dcterms:W3CDTF">2013-12-23T23:15:00Z</dcterms:modified>
  <cp:category/>
</cp:coreProperties>
</file>