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Aestheticizing the Leaf: Literary, Visual, and Cultural Consumption of Tea in East Asia</w:t>
      </w:r>
    </w:p>
    <w:p>
      <w:pPr>
        <w:pStyle w:val="AuthorLine"/>
        <w:widowControl/>
      </w:pPr>
      <w:r>
        <w:t>Vivien Jiaqian Zhu</w:t>
      </w:r>
    </w:p>
    <w:p>
      <w:pPr>
        <w:pStyle w:val="AffiliationLine"/>
        <w:widowControl/>
      </w:pPr>
      <w:r>
        <w:t>Stanford University, Stanford, California, United States, jvzhu@stanford.edu</w:t>
      </w:r>
    </w:p>
    <w:p>
      <w:pPr>
        <w:pStyle w:val="Label"/>
        <w:widowControl/>
        <w:jc w:val="left"/>
      </w:pPr>
      <w:r>
        <w:t>Abstract</w:t>
      </w:r>
    </w:p>
    <w:p>
      <w:pPr>
        <w:widowControl/>
        <w:ind w:firstLine="360"/>
      </w:pPr>
      <w:r>
        <w:t>This chapter theorizes the cultural transformation of Camellia sinensis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premodern and early modern traditions through the contemporary period, the chapter examines how flavor, aroma, processing, brewing techniques, and teaware mediate relationships among botanical materiality, human agency, and cultural meaning. Drawing on literary treatises, visual representations, and material artifacts, it examines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pStyle w:val="Label"/>
        <w:widowControl/>
        <w:jc w:val="left"/>
      </w:pPr>
      <w:r>
        <w:t>Keywords</w:t>
      </w:r>
    </w:p>
    <w:p>
      <w:pPr>
        <w:widowControl/>
        <w:ind w:firstLine="0"/>
      </w:pPr>
      <w:r>
        <w:t>Camellia sinensis; Tea Culture; East Asian Literature; Visual Arts; Material Culture; Cultural Consumption; Tea Ritual; Aroma; Tea Utensils; Aestheticization; Japanese Tea; Authenticity</w:t>
      </w:r>
    </w:p>
    <w:p>
      <w:pPr>
        <w:pStyle w:val="Heading1IntechOpen"/>
        <w:keepNext/>
        <w:widowControl/>
      </w:pPr>
      <w:r>
        <w:t>1. Introduction</w:t>
      </w:r>
    </w:p>
    <w:p>
      <w:pPr>
        <w:widowControl/>
      </w:pPr>
      <w:r>
        <w:t>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 [1, 2].</w:t>
      </w:r>
    </w:p>
    <w:p>
      <w:pPr>
        <w:widowControl/>
      </w:pPr>
      <w:r>
        <w:t>This scene offers a compact illustration of the argument developed throughout this chapter: that Camellia sinensis,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widowControl/>
      </w:pPr>
      <w:r>
        <w:t>This attention to materiality and sensory mediation also extends a methodological concern developed in my recent work. In The Visual Ethnographer’s Data Other: Secrets Unveiled for a Sociological J. M. Coetzee (2026), I examine how ephemeral sensory traces, embodied perception, and material forms complicate the conversion of lived cultural experience into textual and digital data [3].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widowControl/>
      </w:pPr>
      <w:r>
        <w:t>The present chapter also extends a methodological trajectory developed in Sino-Japanese Literature in Perspective: A Short Communication to the World Literature (Eliva Press, 2026), which approaches Sino-Japanese literary discourse through comparative literary analysis, visual-cultural interpretation, and attention to cross-cultural exchange [4]. Whereas that study examines how literary traditions and cultural dialogues traverse geographical and historical boundaries, the present chapter shifts the analytical emphasis from textual and visual circulation to the material and sensory conditions through which cultural meanings are produced. Tea offers a particularly productive object for this extension because its significance is constituted not only through representation and exchange, but also through cultivation, processing, preparation, tasting, and embodied encounter. In this sense, the study of Camellia sinensis develops a more materially grounded account of transregional cultural production, asking how botanical matter itself participates in the formation of literary, visual, ritual, and consumer practices across East Asia.</w:t>
      </w:r>
    </w:p>
    <w:p>
      <w:pPr>
        <w:widowControl/>
      </w:pPr>
      <w:r>
        <w:t>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[5], while Kopytoff’s notion of the cultural biography of things shows how commoditization itself is culturally organized and historically variable [6]. Ingold’s critique of static materiality shifts the focus from inert objects toward dynamic materials whose properties emerge through relations among substances, environments, tools, and practitioners [7, 8]. These approaches provide the conceptual foundation for treating tea not simply as a cultural symbol but as a material participant in the making of cultural forms.</w:t>
      </w:r>
    </w:p>
    <w:p>
      <w:pPr>
        <w:widowControl/>
      </w:pPr>
      <w:r>
        <w:t>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IntechOpen"/>
        <w:keepNext/>
        <w:widowControl/>
      </w:pPr>
      <w:r>
        <w:t>2. Botanical Materiality and the Cultural Life of Tea</w:t>
      </w:r>
    </w:p>
    <w:p>
      <w:pPr>
        <w:widowControl/>
      </w:pPr>
      <w:r>
        <w:t>The analytical problem of tea begins with an apparently simple distinction: a leaf is not yet a cup of tea. Camellia sinensis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 Figure 1 summarizes this sequence of material transformations from plant to culturally valued beverage.</w:t>
      </w:r>
    </w:p>
    <w:p>
      <w:r/>
    </w:p>
    <w:p>
      <w:pPr>
        <w:jc w:val="center"/>
      </w:pPr>
      <w:r/>
    </w:p>
    <w:p>
      <w:r/>
    </w:p>
    <w:p>
      <w:pPr>
        <w:pStyle w:val="Caption"/>
        <w:jc w:val="center"/>
      </w:pPr>
      <w:r>
        <w:t>Figure 1. From Plant to Beverage: Material Transformations of Tea. Source: Author’s synthesis.</w:t>
      </w:r>
    </w:p>
    <w:p>
      <w:pPr>
        <w:pStyle w:val="Heading2IntechOpen"/>
        <w:keepNext/>
        <w:widowControl/>
      </w:pPr>
      <w:r>
        <w:t>2.1 Materials, Value, and Cultural Biography</w:t>
      </w:r>
    </w:p>
    <w:p>
      <w:pPr>
        <w:widowControl/>
      </w:pPr>
      <w:r>
        <w:t>Appadurai’s formulation of the “social life” of things calls attention to the ways objects acquire changing regimes of value as they circulate among different contexts of exchange, display, use, and possession [5]. Kopytoff’s related notion of the cultural biography of things emphasizes that commoditization itself is a cultural process: things become commodities through acts of classification and valuation, and they may move into and out of commodity status [6].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widowControl/>
      </w:pPr>
      <w:r>
        <w:t>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[7]. His later work on making further stresses correspondence between active materials and sentient practitioners [8].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widowControl/>
      </w:pPr>
      <w:r>
        <w:t>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widowControl/>
      </w:pPr>
      <w:r>
        <w:t>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widowControl/>
      </w:pPr>
      <w:r>
        <w:t>Traditional Chinese tea history offers a particularly clear example. James A. Benn describes tea in premodern China as both a religious and cultural commodity, emphasizing how tea moved among medicinal, monastic, literary, and commercial worlds [9]. His account of Tang tea poetry further demonstrates that poets did not merely borrow tea as a ready-made symbol: they helped construct a vocabulary of qualities—naturalness, refreshment, stimulation, longevity, spiritual clarity—through which tea could be valued and discussed [10].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widowControl/>
      </w:pPr>
      <w:r>
        <w:t>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widowControl/>
      </w:pPr>
      <w:r>
        <w:t>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IntechOpen"/>
        <w:keepNext/>
        <w:widowControl/>
      </w:pPr>
      <w:r>
        <w:t>3. From Leaf to Beverage: Processing, Sensory Experience, and Knowledge</w:t>
      </w:r>
    </w:p>
    <w:p>
      <w:pPr>
        <w:pStyle w:val="Heading2IntechOpen"/>
        <w:keepNext/>
        <w:widowControl/>
      </w:pPr>
      <w:r>
        <w:t>3.1 Processing as Mediation</w:t>
      </w:r>
    </w:p>
    <w:p>
      <w:pPr>
        <w:widowControl/>
      </w:pPr>
      <w:r>
        <w:t>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widowControl/>
      </w:pPr>
      <w:r>
        <w:t>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[9, 11]. The point is not that processing simply “improves” the plant. Rather, different procedures produce different sensory objects from the same species. A distinction between teas is therefore simultaneously a distinction between material histories.</w:t>
      </w:r>
    </w:p>
    <w:p>
      <w:pPr>
        <w:widowControl/>
      </w:pPr>
      <w:r>
        <w:t>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widowControl/>
      </w:pPr>
      <w:r>
        <w:t>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widowControl/>
      </w:pPr>
      <w:r>
        <w:t>This is especially visible in the long Chinese tradition of tea literature. Benn notes that Tang poets described tea’s color, aroma, taste, methods of preparation, shapes of teaware, settings of consumption, and aesthetic or medicinal effects [10].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widowControl/>
      </w:pPr>
      <w:r>
        <w:t>The relationship between botanical matter and literary mediation can also be framed through Ingold’s emphasis on materials as processual [7].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widowControl/>
      </w:pPr>
      <w:r>
        <w:t>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widowControl/>
      </w:pPr>
      <w:r>
        <w:t>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[6].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IntechOpen"/>
        <w:keepNext/>
        <w:widowControl/>
      </w:pPr>
      <w:r>
        <w:t>4. Literary and Visual Cultures of Tea</w:t>
      </w:r>
    </w:p>
    <w:p>
      <w:pPr>
        <w:pStyle w:val="Heading2IntechOpen"/>
        <w:keepNext/>
        <w:widowControl/>
      </w:pPr>
      <w:r>
        <w:t>4.1 Literature as Sensory Mediation</w:t>
      </w:r>
    </w:p>
    <w:p>
      <w:pPr>
        <w:widowControl/>
      </w:pPr>
      <w:r>
        <w:t>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widowControl/>
      </w:pPr>
      <w:r>
        <w:t>In Tang China, tea poetry emerged as a recognizable literary subject in a period when tea drinking was expanding across religious and secular settings. Benn shows that poets helped establish tea as a medium for friendship, reflection, spiritual cultivation, and ordinary sociability [10].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widowControl/>
      </w:pPr>
      <w:r>
        <w:t>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widowControl/>
      </w:pPr>
      <w:r>
        <w:t>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 Figure 2 conceptualizes these reciprocal relations among botanical matter, sensory experience, utensils and space, ritual and body, literature and image, and markets and identity.</w:t>
      </w:r>
    </w:p>
    <w:p>
      <w:r/>
    </w:p>
    <w:p>
      <w:pPr>
        <w:jc w:val="center"/>
      </w:pPr>
      <w:r/>
    </w:p>
    <w:p>
      <w:r/>
    </w:p>
    <w:p>
      <w:pPr>
        <w:pStyle w:val="Caption"/>
        <w:jc w:val="center"/>
      </w:pPr>
      <w:r>
        <w:t>Figure 2. Tea as an Intermedial Cultural Medium. Source: Author’s synthesis.</w:t>
      </w:r>
    </w:p>
    <w:p>
      <w:pPr>
        <w:widowControl/>
      </w:pPr>
      <w:r>
        <w:t>The same principle appears clearly in the history of Japanese tea. Varley and Kumakura’s Tea in Japan stresses that chanoyu developed through an interaction of architecture, gardens, ceramics, lacquerware, painting, calligraphy, interior design, and ritual [12]. Pitelka’s Japanese Tea Culture: Art, History and Practice further argues against viewing Japanese tea culture as a timeless, purely aesthetic practice, showing instead how tea has been entangled with commerce, politics, historical writing, artistic production, and ideas of Japaneseness [13]. In both cases, material and symbolic orders cannot be separated cleanly.</w:t>
      </w:r>
    </w:p>
    <w:p>
      <w:pPr>
        <w:widowControl/>
      </w:pPr>
      <w:r>
        <w:t>Kumakura’s more recent account makes the same point through practice. His Japanese Tea Culture: The Heart and Form of Chanoyu examines not only ritual but the tea room, tea utensils, bodily movements, and historical formation of the practice [14].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widowControl/>
      </w:pPr>
      <w:r>
        <w:t>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widowControl/>
      </w:pPr>
      <w:r>
        <w:t>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widowControl/>
      </w:pPr>
      <w:r>
        <w:t>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IntechOpen"/>
        <w:keepNext/>
        <w:widowControl/>
      </w:pPr>
      <w:r>
        <w:t>5. Sencha, Literati Culture, and the Social Performance of Taste</w:t>
      </w:r>
    </w:p>
    <w:p>
      <w:pPr>
        <w:pStyle w:val="Heading2IntechOpen"/>
        <w:keepNext/>
        <w:widowControl/>
      </w:pPr>
      <w:r>
        <w:t>5.1 Literati Sociability and Connoisseurship</w:t>
      </w:r>
    </w:p>
    <w:p>
      <w:pPr>
        <w:widowControl/>
      </w:pPr>
      <w:r>
        <w:t>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[15]. Treating Japanese tea culture as synonymous with matcha-centered ceremony risks narrowing the field and obscuring the literati networks, commercial exchanges, and everyday practices through which other tea forms acquired significance.</w:t>
      </w:r>
    </w:p>
    <w:p>
      <w:pPr>
        <w:widowControl/>
      </w:pPr>
      <w:r>
        <w:t>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widowControl/>
      </w:pPr>
      <w:r>
        <w:t>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widowControl/>
      </w:pPr>
      <w:r>
        <w:t>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widowControl/>
      </w:pPr>
      <w:r>
        <w:t>Yukitada Shimamura’s study of Rai San’yō, sencha, and the material worlds of late early-modern literati culture offers a useful point of reference for this line of inquiry [1].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widowControl/>
      </w:pPr>
      <w:r>
        <w:t>The social meaning of taste can be further clarified through Bourdieu’s analysis of distinction [16].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widowControl/>
      </w:pPr>
      <w:r>
        <w:t>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widowControl/>
      </w:pPr>
      <w:r>
        <w:t>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[17]. His account demonstrates that Japanese tea culture cannot be understood solely within a self-contained national frame. Commercial circulation altered taste, availability, and the relationship between everyday consumption and claims about Japanese identity.</w:t>
      </w:r>
    </w:p>
    <w:p>
      <w:pPr>
        <w:widowControl/>
      </w:pPr>
      <w:r>
        <w:t>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IntechOpen"/>
        <w:keepNext/>
        <w:widowControl/>
      </w:pPr>
      <w:r>
        <w:t>6. Tea Utensils, Ritual, and Material Mediation</w:t>
      </w:r>
    </w:p>
    <w:p>
      <w:pPr>
        <w:pStyle w:val="Heading2IntechOpen"/>
        <w:keepNext/>
        <w:widowControl/>
      </w:pPr>
      <w:r>
        <w:t>6.1 Objects as Sensory Infrastructures</w:t>
      </w:r>
    </w:p>
    <w:p>
      <w:pPr>
        <w:widowControl/>
      </w:pPr>
      <w:r>
        <w:t>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widowControl/>
      </w:pPr>
      <w:r>
        <w:t>Studies of Japanese tea make this especially clear. Pitelka’s collection includes a study of “Shopping for Pots in Momoyama Japan,” demonstrating that the acquisition of vessels was tied to commerce and connoisseurship rather than detached contemplation [13]. Kumakura likewise treats the tea whisk, bowl, room, and bodily actions as historically contingent components of tea culture [14]. The implication is methodological: to understand the aesthetics of tea, one must study the infrastructures of perception.</w:t>
      </w:r>
    </w:p>
    <w:p>
      <w:pPr>
        <w:widowControl/>
      </w:pPr>
      <w:r>
        <w:t>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widowControl/>
      </w:pPr>
      <w:r>
        <w:t>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widowControl/>
      </w:pPr>
      <w:r>
        <w:t>Kumakura’s account of tea gathering emphasizes how formalized behavior, spatial arrangement, and utensils work together [14].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widowControl/>
      </w:pPr>
      <w:r>
        <w:t>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[18].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widowControl/>
      </w:pPr>
      <w:r>
        <w:t>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widowControl/>
      </w:pPr>
      <w:r>
        <w:t>This is another place where Appadurai’s social life of things becomes useful [5].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widowControl/>
      </w:pPr>
      <w:r>
        <w:t>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widowControl/>
      </w:pPr>
      <w:r>
        <w:t>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IntechOpen"/>
        <w:keepNext/>
        <w:widowControl/>
      </w:pPr>
      <w:r>
        <w:t>7. East Asian Circulations: China, Japan, and Korea</w:t>
      </w:r>
    </w:p>
    <w:p>
      <w:pPr>
        <w:pStyle w:val="Heading2IntechOpen"/>
        <w:keepNext/>
        <w:widowControl/>
      </w:pPr>
      <w:r>
        <w:t>7.1 Regional Circulation and Reclassification</w:t>
      </w:r>
    </w:p>
    <w:p>
      <w:pPr>
        <w:widowControl/>
      </w:pPr>
      <w:r>
        <w:t>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widowControl/>
      </w:pPr>
      <w:r>
        <w:t>In China, the relationship between Buddhism, tea, poetry, and material culture was foundational to the expansion of tea drinking during the Tang period. Benn emphasizes that Buddhist institutions and figures helped popularize tea while poets helped elaborate its cultural meanings [9, 10]. The Classic of Tea provided a textual framework capable of connecting botanical knowledge, processing, utensils, brewing, and consumption. Tea thereby became not simply a beverage but an object through which knowledge could be organized.</w:t>
      </w:r>
    </w:p>
    <w:p>
      <w:pPr>
        <w:widowControl/>
      </w:pPr>
      <w:r>
        <w:t>Japanese tea culture developed through selective appropriation and transformation of Chinese models. Sen Sōshitsu XV’s historical account traces the movement of tea practices from China to Japan and the subsequent formation of distinctly Japanese ways of tea [19]. Varley and Kumakura similarly show that Japanese tea culture emerged through encounters among imported objects, local artistic practices, religious institutions, and political structures [12]. Pitelka’s collection highlights how later historical writing, commerce, artistic production, and notions of Japaneseness further reshaped the field [13]. These histories suggest that cultural “inheritance” is not passive transmission. Imported forms become meaningful through local acts of selection and reinterpretation.</w:t>
      </w:r>
    </w:p>
    <w:p>
      <w:pPr>
        <w:widowControl/>
      </w:pPr>
      <w:r>
        <w:t>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[20].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[20].</w:t>
      </w:r>
    </w:p>
    <w:p>
      <w:pPr>
        <w:widowControl/>
      </w:pPr>
      <w:r>
        <w:t>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widowControl/>
      </w:pPr>
      <w:r>
        <w:t>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widowControl/>
      </w:pPr>
      <w:r>
        <w:t>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 Such a relation between material specificity and cultural valuation also appears in Tristan G. Brown’s study of fengshui in Qing China, which shows how landscape and environmental order could become objects of legal, social, and political valuation rather than functioning as a merely passive backdrop [2]. Table 1 compares these configurations across China, Japan, Korea, and the contemporary global market.</w:t>
      </w:r>
    </w:p>
    <w:p>
      <w:r/>
    </w:p>
    <w:tbl>
      <w:tblPr>
        <w:tblStyle w:val="TableGrid"/>
        <w:tblW w:type="dxa" w:w="7370"/>
        <w:jc w:val="center"/>
        <w:tblLayout w:type="fixed"/>
        <w:tblLook w:firstColumn="1" w:firstRow="1" w:lastColumn="0" w:lastRow="0" w:noHBand="0" w:noVBand="1" w:val="04A0"/>
      </w:tblPr>
      <w:tblGrid>
        <w:gridCol w:w="1361"/>
        <w:gridCol w:w="2211"/>
        <w:gridCol w:w="1899"/>
        <w:gridCol w:w="1899"/>
      </w:tblGrid>
      <w:tr>
        <w:tc>
          <w:tcPr>
            <w:tcW w:type="dxa" w:w="1361"/>
            <w:vAlign w:val="center"/>
          </w:tcPr>
          <w:p>
            <w:pPr>
              <w:jc w:val="center"/>
            </w:pPr>
            <w:r/>
            <w:r>
              <w:rPr>
                <w:b/>
                <w:sz w:val="19"/>
              </w:rPr>
              <w:t>Context</w:t>
            </w:r>
          </w:p>
        </w:tc>
        <w:tc>
          <w:tcPr>
            <w:tcW w:type="dxa" w:w="2211"/>
            <w:vAlign w:val="center"/>
          </w:tcPr>
          <w:p>
            <w:pPr>
              <w:jc w:val="center"/>
            </w:pPr>
            <w:r/>
            <w:r>
              <w:rPr>
                <w:b/>
                <w:sz w:val="19"/>
              </w:rPr>
              <w:t>Material / practice</w:t>
            </w:r>
          </w:p>
        </w:tc>
        <w:tc>
          <w:tcPr>
            <w:tcW w:type="dxa" w:w="1899"/>
            <w:vAlign w:val="center"/>
          </w:tcPr>
          <w:p>
            <w:pPr>
              <w:jc w:val="center"/>
            </w:pPr>
            <w:r/>
            <w:r>
              <w:rPr>
                <w:b/>
                <w:sz w:val="19"/>
              </w:rPr>
              <w:t>Mediating forms</w:t>
            </w:r>
          </w:p>
        </w:tc>
        <w:tc>
          <w:tcPr>
            <w:tcW w:type="dxa" w:w="1899"/>
            <w:vAlign w:val="center"/>
          </w:tcPr>
          <w:p>
            <w:pPr>
              <w:jc w:val="center"/>
            </w:pPr>
            <w:r/>
            <w:r>
              <w:rPr>
                <w:b/>
                <w:sz w:val="19"/>
              </w:rPr>
              <w:t>Valuation / identity</w:t>
            </w:r>
          </w:p>
        </w:tc>
      </w:tr>
      <w:tr>
        <w:tc>
          <w:tcPr>
            <w:tcW w:type="dxa" w:w="1361"/>
            <w:vAlign w:val="center"/>
          </w:tcPr>
          <w:p>
            <w:pPr>
              <w:jc w:val="center"/>
            </w:pPr>
            <w:r/>
            <w:r>
              <w:rPr>
                <w:b w:val="0"/>
                <w:sz w:val="18"/>
              </w:rPr>
              <w:t>China</w:t>
            </w:r>
          </w:p>
        </w:tc>
        <w:tc>
          <w:tcPr>
            <w:tcW w:type="dxa" w:w="2211"/>
            <w:vAlign w:val="center"/>
          </w:tcPr>
          <w:p>
            <w:pPr>
              <w:jc w:val="center"/>
            </w:pPr>
            <w:r/>
            <w:r>
              <w:rPr>
                <w:b w:val="0"/>
                <w:sz w:val="18"/>
              </w:rPr>
              <w:t>Tea leaf, processing, water, teaware</w:t>
            </w:r>
          </w:p>
        </w:tc>
        <w:tc>
          <w:tcPr>
            <w:tcW w:type="dxa" w:w="1899"/>
            <w:vAlign w:val="center"/>
          </w:tcPr>
          <w:p>
            <w:pPr>
              <w:jc w:val="center"/>
            </w:pPr>
            <w:r/>
            <w:r>
              <w:rPr>
                <w:b w:val="0"/>
                <w:sz w:val="18"/>
              </w:rPr>
              <w:t>Tea treatises, poetry, monastic and literary practice</w:t>
            </w:r>
          </w:p>
        </w:tc>
        <w:tc>
          <w:tcPr>
            <w:tcW w:type="dxa" w:w="1899"/>
            <w:vAlign w:val="center"/>
          </w:tcPr>
          <w:p>
            <w:pPr>
              <w:jc w:val="center"/>
            </w:pPr>
            <w:r/>
            <w:r>
              <w:rPr>
                <w:b w:val="0"/>
                <w:sz w:val="18"/>
              </w:rPr>
              <w:t>Knowledge, cultivation, sociability, medicinal and spiritual value</w:t>
            </w:r>
          </w:p>
        </w:tc>
      </w:tr>
      <w:tr>
        <w:tc>
          <w:tcPr>
            <w:tcW w:type="dxa" w:w="1361"/>
            <w:vAlign w:val="center"/>
          </w:tcPr>
          <w:p>
            <w:pPr>
              <w:jc w:val="center"/>
            </w:pPr>
            <w:r/>
            <w:r>
              <w:rPr>
                <w:b w:val="0"/>
                <w:sz w:val="18"/>
              </w:rPr>
              <w:t>Japan</w:t>
            </w:r>
          </w:p>
        </w:tc>
        <w:tc>
          <w:tcPr>
            <w:tcW w:type="dxa" w:w="2211"/>
            <w:vAlign w:val="center"/>
          </w:tcPr>
          <w:p>
            <w:pPr>
              <w:jc w:val="center"/>
            </w:pPr>
            <w:r/>
            <w:r>
              <w:rPr>
                <w:b w:val="0"/>
                <w:sz w:val="18"/>
              </w:rPr>
              <w:t>Sencha, matcha, bowls, rooms, utensils</w:t>
            </w:r>
          </w:p>
        </w:tc>
        <w:tc>
          <w:tcPr>
            <w:tcW w:type="dxa" w:w="1899"/>
            <w:vAlign w:val="center"/>
          </w:tcPr>
          <w:p>
            <w:pPr>
              <w:jc w:val="center"/>
            </w:pPr>
            <w:r/>
            <w:r>
              <w:rPr>
                <w:b w:val="0"/>
                <w:sz w:val="18"/>
              </w:rPr>
              <w:t>Chanoyu / senchadō, literati gatherings, visual and material arts</w:t>
            </w:r>
          </w:p>
        </w:tc>
        <w:tc>
          <w:tcPr>
            <w:tcW w:type="dxa" w:w="1899"/>
            <w:vAlign w:val="center"/>
          </w:tcPr>
          <w:p>
            <w:pPr>
              <w:jc w:val="center"/>
            </w:pPr>
            <w:r/>
            <w:r>
              <w:rPr>
                <w:b w:val="0"/>
                <w:sz w:val="18"/>
              </w:rPr>
              <w:t>Taste, connoisseurship, lineage, Japaneseness, social distinction</w:t>
            </w:r>
          </w:p>
        </w:tc>
      </w:tr>
      <w:tr>
        <w:tc>
          <w:tcPr>
            <w:tcW w:type="dxa" w:w="1361"/>
            <w:vAlign w:val="center"/>
          </w:tcPr>
          <w:p>
            <w:pPr>
              <w:jc w:val="center"/>
            </w:pPr>
            <w:r/>
            <w:r>
              <w:rPr>
                <w:b w:val="0"/>
                <w:sz w:val="18"/>
              </w:rPr>
              <w:t>Korea</w:t>
            </w:r>
          </w:p>
        </w:tc>
        <w:tc>
          <w:tcPr>
            <w:tcW w:type="dxa" w:w="2211"/>
            <w:vAlign w:val="center"/>
          </w:tcPr>
          <w:p>
            <w:pPr>
              <w:jc w:val="center"/>
            </w:pPr>
            <w:r/>
            <w:r>
              <w:rPr>
                <w:b w:val="0"/>
                <w:sz w:val="18"/>
              </w:rPr>
              <w:t>Tea, vessels, cha-rye, ritual settings</w:t>
            </w:r>
          </w:p>
        </w:tc>
        <w:tc>
          <w:tcPr>
            <w:tcW w:type="dxa" w:w="1899"/>
            <w:vAlign w:val="center"/>
          </w:tcPr>
          <w:p>
            <w:pPr>
              <w:jc w:val="center"/>
            </w:pPr>
            <w:r/>
            <w:r>
              <w:rPr>
                <w:b w:val="0"/>
                <w:sz w:val="18"/>
              </w:rPr>
              <w:t>Royal, Buddhist, literary, domestic and modern national forms</w:t>
            </w:r>
          </w:p>
        </w:tc>
        <w:tc>
          <w:tcPr>
            <w:tcW w:type="dxa" w:w="1899"/>
            <w:vAlign w:val="center"/>
          </w:tcPr>
          <w:p>
            <w:pPr>
              <w:jc w:val="center"/>
            </w:pPr>
            <w:r/>
            <w:r>
              <w:rPr>
                <w:b w:val="0"/>
                <w:sz w:val="18"/>
              </w:rPr>
              <w:t>Tradition, ritual continuity, cultural identity</w:t>
            </w:r>
          </w:p>
        </w:tc>
      </w:tr>
      <w:tr>
        <w:tc>
          <w:tcPr>
            <w:tcW w:type="dxa" w:w="1361"/>
            <w:vAlign w:val="center"/>
          </w:tcPr>
          <w:p>
            <w:pPr>
              <w:jc w:val="center"/>
            </w:pPr>
            <w:r/>
            <w:r>
              <w:rPr>
                <w:b w:val="0"/>
                <w:sz w:val="18"/>
              </w:rPr>
              <w:t>Contemporary global market</w:t>
            </w:r>
          </w:p>
        </w:tc>
        <w:tc>
          <w:tcPr>
            <w:tcW w:type="dxa" w:w="2211"/>
            <w:vAlign w:val="center"/>
          </w:tcPr>
          <w:p>
            <w:pPr>
              <w:jc w:val="center"/>
            </w:pPr>
            <w:r/>
            <w:r>
              <w:rPr>
                <w:b w:val="0"/>
                <w:sz w:val="18"/>
              </w:rPr>
              <w:t>Specialty leaves, packaging, brewing equipment</w:t>
            </w:r>
          </w:p>
        </w:tc>
        <w:tc>
          <w:tcPr>
            <w:tcW w:type="dxa" w:w="1899"/>
            <w:vAlign w:val="center"/>
          </w:tcPr>
          <w:p>
            <w:pPr>
              <w:jc w:val="center"/>
            </w:pPr>
            <w:r/>
            <w:r>
              <w:rPr>
                <w:b w:val="0"/>
                <w:sz w:val="18"/>
              </w:rPr>
              <w:t>Retail, social media, tasting notes, imagery, lifestyle discourse</w:t>
            </w:r>
          </w:p>
        </w:tc>
        <w:tc>
          <w:tcPr>
            <w:tcW w:type="dxa" w:w="1899"/>
            <w:vAlign w:val="center"/>
          </w:tcPr>
          <w:p>
            <w:pPr>
              <w:jc w:val="center"/>
            </w:pPr>
            <w:r/>
            <w:r>
              <w:rPr>
                <w:b w:val="0"/>
                <w:sz w:val="18"/>
              </w:rPr>
              <w:t>Authenticity, craft, provenance, wellness, heritage</w:t>
            </w:r>
          </w:p>
        </w:tc>
      </w:tr>
    </w:tbl>
    <w:p>
      <w:pPr>
        <w:pStyle w:val="Caption"/>
        <w:jc w:val="center"/>
      </w:pPr>
      <w:r>
        <w:t>Table 1. Comparative Material-Cultural Configurations of Tea in East Asia. Source: Author’s synthesis; see especially refs. [9, 12–14, 17, 19, and 20].</w:t>
      </w:r>
    </w:p>
    <w:p>
      <w:pPr>
        <w:pStyle w:val="Heading1IntechOpen"/>
        <w:keepNext/>
        <w:widowControl/>
      </w:pPr>
      <w:r>
        <w:t>8. Cultural Consumption, Authenticity, and the Contemporary Aestheticization of Tea</w:t>
      </w:r>
    </w:p>
    <w:p>
      <w:pPr>
        <w:pStyle w:val="Heading2IntechOpen"/>
        <w:keepNext/>
        <w:widowControl/>
      </w:pPr>
      <w:r>
        <w:t>8.1 Authenticity as a Valuation Practice</w:t>
      </w:r>
    </w:p>
    <w:p>
      <w:pPr>
        <w:widowControl/>
      </w:pPr>
      <w:r>
        <w:t>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widowControl/>
      </w:pPr>
      <w:r>
        <w:t>Kopytoff’s insight that commodities are culturally marked as particular kinds of things is especially relevant here [6].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widowControl/>
      </w:pPr>
      <w:r>
        <w:t>This process can be read alongside Bourdieu’s account of taste and distinction [16],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widowControl/>
      </w:pPr>
      <w:r>
        <w:t>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widowControl/>
      </w:pPr>
      <w:r>
        <w:t>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[17]. The contemporary situation extends this dynamic through global digital circulation.</w:t>
      </w:r>
    </w:p>
    <w:p>
      <w:pPr>
        <w:widowControl/>
      </w:pPr>
      <w:r>
        <w:t>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widowControl/>
      </w:pPr>
      <w:r>
        <w:t>The politics of authenticity become particularly visible when national and regional identities are attached to tea. Pitelka notes that Japanese tea has participated in the production of ideas about Japaneseness [13]. Lee and Kwon show that Korean tea ritual could be reformulated as national tradition under modern political conditions [20]. These examples suggest that cultural identity is not merely expressed through tea; it is materially assembled through tea practices. The identity claim gains force because it can be tasted, handled, staged, displayed, and repeated.</w:t>
      </w:r>
    </w:p>
    <w:p>
      <w:pPr>
        <w:widowControl/>
      </w:pPr>
      <w:r>
        <w:t>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widowControl/>
      </w:pPr>
      <w:r>
        <w:t>Yet the contemporary consumer should not be treated as a passive recipient of such meanings. De Certeau’s account of everyday practices reminds us that consumers can appropriate commodities in ways not fully determined by producers [21]. Tea drinkers adapt brewing methods, combine traditions, reinterpret utensils, and create new ritual forms. A commercial product can therefore become the material basis for unexpected practices. The social life of tea continues through these acts of use.</w:t>
      </w:r>
    </w:p>
    <w:p>
      <w:pPr>
        <w:widowControl/>
      </w:pPr>
      <w:r>
        <w:t>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IntechOpen"/>
        <w:keepNext/>
        <w:widowControl/>
      </w:pPr>
      <w:r>
        <w:t>9. Toward a Material-Cultural Theory of Aestheticization</w:t>
      </w:r>
    </w:p>
    <w:p>
      <w:pPr>
        <w:pStyle w:val="Heading2IntechOpen"/>
        <w:keepNext/>
        <w:widowControl/>
      </w:pPr>
      <w:r>
        <w:t>9.1 A Five-Stage Model of Aestheticization</w:t>
      </w:r>
    </w:p>
    <w:p>
      <w:pPr>
        <w:widowControl/>
      </w:pPr>
      <w:r>
        <w:t>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widowControl/>
      </w:pPr>
      <w:r>
        <w:t>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widowControl/>
      </w:pPr>
      <w:r>
        <w:t>Second, these differences are mediated through tools and bodies. Brewing vessels, water, heat, timing, hand movements, rooms, and serving sequences determine what can be perceived and how. The sensory world is therefore organized by material infrastructures.</w:t>
      </w:r>
    </w:p>
    <w:p>
      <w:pPr>
        <w:widowControl/>
      </w:pPr>
      <w:r>
        <w:t>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widowControl/>
      </w:pPr>
      <w:r>
        <w:t>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widowControl/>
      </w:pPr>
      <w:r>
        <w:t>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 Figure 3 visualizes the recursive movement among the five stages.</w:t>
      </w:r>
    </w:p>
    <w:p>
      <w:r/>
    </w:p>
    <w:p>
      <w:pPr>
        <w:jc w:val="center"/>
      </w:pPr>
      <w:r/>
    </w:p>
    <w:p>
      <w:r/>
    </w:p>
    <w:p>
      <w:pPr>
        <w:pStyle w:val="Caption"/>
        <w:jc w:val="center"/>
      </w:pPr>
      <w:r>
        <w:t>Figure 3. Five-Stage Model of Tea Aestheticization. Source: Author’s synthesis; heuristic model developed in Section 9.</w:t>
      </w:r>
    </w:p>
    <w:p>
      <w:pPr>
        <w:pStyle w:val="Caption"/>
      </w:pPr>
      <w:r>
        <w:t>Video 1 available from (can be viewed at): author-supplied supplemental video file (submitted separately; publisher-hosted link to be inserted at production).</w:t>
      </w:r>
    </w:p>
    <w:p>
      <w:pPr>
        <w:widowControl/>
      </w:pPr>
      <w:r>
        <w:t>The five-stage model proposed here is a heuristic synthesis of the foregoing cases rather than a taxonomy borrowed from a single source. 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 Table 2 summarizes the model in operational terms.</w:t>
      </w:r>
    </w:p>
    <w:p>
      <w:r/>
    </w:p>
    <w:tbl>
      <w:tblPr>
        <w:tblStyle w:val="TableGrid"/>
        <w:tblW w:type="dxa" w:w="7370"/>
        <w:jc w:val="center"/>
        <w:tblLayout w:type="fixed"/>
        <w:tblLook w:firstColumn="1" w:firstRow="1" w:lastColumn="0" w:lastRow="0" w:noHBand="0" w:noVBand="1" w:val="04A0"/>
      </w:tblPr>
      <w:tblGrid>
        <w:gridCol w:w="1361"/>
        <w:gridCol w:w="2211"/>
        <w:gridCol w:w="1899"/>
        <w:gridCol w:w="1899"/>
      </w:tblGrid>
      <w:tr>
        <w:tc>
          <w:tcPr>
            <w:tcW w:type="dxa" w:w="1361"/>
            <w:vAlign w:val="center"/>
          </w:tcPr>
          <w:p>
            <w:pPr>
              <w:jc w:val="center"/>
            </w:pPr>
            <w:r/>
            <w:r>
              <w:rPr>
                <w:b/>
                <w:sz w:val="19"/>
              </w:rPr>
              <w:t>Stage</w:t>
            </w:r>
          </w:p>
        </w:tc>
        <w:tc>
          <w:tcPr>
            <w:tcW w:type="dxa" w:w="2211"/>
            <w:vAlign w:val="center"/>
          </w:tcPr>
          <w:p>
            <w:pPr>
              <w:jc w:val="center"/>
            </w:pPr>
            <w:r/>
            <w:r>
              <w:rPr>
                <w:b/>
                <w:sz w:val="19"/>
              </w:rPr>
              <w:t>Operation</w:t>
            </w:r>
          </w:p>
        </w:tc>
        <w:tc>
          <w:tcPr>
            <w:tcW w:type="dxa" w:w="1899"/>
            <w:vAlign w:val="center"/>
          </w:tcPr>
          <w:p>
            <w:pPr>
              <w:jc w:val="center"/>
            </w:pPr>
            <w:r/>
            <w:r>
              <w:rPr>
                <w:b/>
                <w:sz w:val="19"/>
              </w:rPr>
              <w:t>Material / sensory basis</w:t>
            </w:r>
          </w:p>
        </w:tc>
        <w:tc>
          <w:tcPr>
            <w:tcW w:type="dxa" w:w="1899"/>
            <w:vAlign w:val="center"/>
          </w:tcPr>
          <w:p>
            <w:pPr>
              <w:jc w:val="center"/>
            </w:pPr>
            <w:r/>
            <w:r>
              <w:rPr>
                <w:b/>
                <w:sz w:val="19"/>
              </w:rPr>
              <w:t>Cultural effect</w:t>
            </w:r>
          </w:p>
        </w:tc>
      </w:tr>
      <w:tr>
        <w:tc>
          <w:tcPr>
            <w:tcW w:type="dxa" w:w="1361"/>
            <w:vAlign w:val="center"/>
          </w:tcPr>
          <w:p>
            <w:pPr>
              <w:jc w:val="center"/>
            </w:pPr>
            <w:r/>
            <w:r>
              <w:rPr>
                <w:b w:val="0"/>
                <w:sz w:val="18"/>
              </w:rPr>
              <w:t>1</w:t>
            </w:r>
          </w:p>
        </w:tc>
        <w:tc>
          <w:tcPr>
            <w:tcW w:type="dxa" w:w="2211"/>
            <w:vAlign w:val="center"/>
          </w:tcPr>
          <w:p>
            <w:pPr>
              <w:jc w:val="center"/>
            </w:pPr>
            <w:r/>
            <w:r>
              <w:rPr>
                <w:b w:val="0"/>
                <w:sz w:val="18"/>
              </w:rPr>
              <w:t>Differentiation</w:t>
            </w:r>
          </w:p>
        </w:tc>
        <w:tc>
          <w:tcPr>
            <w:tcW w:type="dxa" w:w="1899"/>
            <w:vAlign w:val="center"/>
          </w:tcPr>
          <w:p>
            <w:pPr>
              <w:jc w:val="center"/>
            </w:pPr>
            <w:r/>
            <w:r>
              <w:rPr>
                <w:b w:val="0"/>
                <w:sz w:val="18"/>
              </w:rPr>
              <w:t>Flavor, aroma, color, texture, leaf form, provenance</w:t>
            </w:r>
          </w:p>
        </w:tc>
        <w:tc>
          <w:tcPr>
            <w:tcW w:type="dxa" w:w="1899"/>
            <w:vAlign w:val="center"/>
          </w:tcPr>
          <w:p>
            <w:pPr>
              <w:jc w:val="center"/>
            </w:pPr>
            <w:r/>
            <w:r>
              <w:rPr>
                <w:b w:val="0"/>
                <w:sz w:val="18"/>
              </w:rPr>
              <w:t>Differences become perceptible and comparable.</w:t>
            </w:r>
          </w:p>
        </w:tc>
      </w:tr>
      <w:tr>
        <w:tc>
          <w:tcPr>
            <w:tcW w:type="dxa" w:w="1361"/>
            <w:vAlign w:val="center"/>
          </w:tcPr>
          <w:p>
            <w:pPr>
              <w:jc w:val="center"/>
            </w:pPr>
            <w:r/>
            <w:r>
              <w:rPr>
                <w:b w:val="0"/>
                <w:sz w:val="18"/>
              </w:rPr>
              <w:t>2</w:t>
            </w:r>
          </w:p>
        </w:tc>
        <w:tc>
          <w:tcPr>
            <w:tcW w:type="dxa" w:w="2211"/>
            <w:vAlign w:val="center"/>
          </w:tcPr>
          <w:p>
            <w:pPr>
              <w:jc w:val="center"/>
            </w:pPr>
            <w:r/>
            <w:r>
              <w:rPr>
                <w:b w:val="0"/>
                <w:sz w:val="18"/>
              </w:rPr>
              <w:t>Mediation</w:t>
            </w:r>
          </w:p>
        </w:tc>
        <w:tc>
          <w:tcPr>
            <w:tcW w:type="dxa" w:w="1899"/>
            <w:vAlign w:val="center"/>
          </w:tcPr>
          <w:p>
            <w:pPr>
              <w:jc w:val="center"/>
            </w:pPr>
            <w:r/>
            <w:r>
              <w:rPr>
                <w:b w:val="0"/>
                <w:sz w:val="18"/>
              </w:rPr>
              <w:t>Water, heat, vessel, timing, gesture, room</w:t>
            </w:r>
          </w:p>
        </w:tc>
        <w:tc>
          <w:tcPr>
            <w:tcW w:type="dxa" w:w="1899"/>
            <w:vAlign w:val="center"/>
          </w:tcPr>
          <w:p>
            <w:pPr>
              <w:jc w:val="center"/>
            </w:pPr>
            <w:r/>
            <w:r>
              <w:rPr>
                <w:b w:val="0"/>
                <w:sz w:val="18"/>
              </w:rPr>
              <w:t>Perception is organized through material infrastructures.</w:t>
            </w:r>
          </w:p>
        </w:tc>
      </w:tr>
      <w:tr>
        <w:tc>
          <w:tcPr>
            <w:tcW w:type="dxa" w:w="1361"/>
            <w:vAlign w:val="center"/>
          </w:tcPr>
          <w:p>
            <w:pPr>
              <w:jc w:val="center"/>
            </w:pPr>
            <w:r/>
            <w:r>
              <w:rPr>
                <w:b w:val="0"/>
                <w:sz w:val="18"/>
              </w:rPr>
              <w:t>3</w:t>
            </w:r>
          </w:p>
        </w:tc>
        <w:tc>
          <w:tcPr>
            <w:tcW w:type="dxa" w:w="2211"/>
            <w:vAlign w:val="center"/>
          </w:tcPr>
          <w:p>
            <w:pPr>
              <w:jc w:val="center"/>
            </w:pPr>
            <w:r/>
            <w:r>
              <w:rPr>
                <w:b w:val="0"/>
                <w:sz w:val="18"/>
              </w:rPr>
              <w:t>Stabilization</w:t>
            </w:r>
          </w:p>
        </w:tc>
        <w:tc>
          <w:tcPr>
            <w:tcW w:type="dxa" w:w="1899"/>
            <w:vAlign w:val="center"/>
          </w:tcPr>
          <w:p>
            <w:pPr>
              <w:jc w:val="center"/>
            </w:pPr>
            <w:r/>
            <w:r>
              <w:rPr>
                <w:b w:val="0"/>
                <w:sz w:val="18"/>
              </w:rPr>
              <w:t>Repeated comparison and description</w:t>
            </w:r>
          </w:p>
        </w:tc>
        <w:tc>
          <w:tcPr>
            <w:tcW w:type="dxa" w:w="1899"/>
            <w:vAlign w:val="center"/>
          </w:tcPr>
          <w:p>
            <w:pPr>
              <w:jc w:val="center"/>
            </w:pPr>
            <w:r/>
            <w:r>
              <w:rPr>
                <w:b w:val="0"/>
                <w:sz w:val="18"/>
              </w:rPr>
              <w:t>Preferences become norms, styles, and traditions.</w:t>
            </w:r>
          </w:p>
        </w:tc>
      </w:tr>
      <w:tr>
        <w:tc>
          <w:tcPr>
            <w:tcW w:type="dxa" w:w="1361"/>
            <w:vAlign w:val="center"/>
          </w:tcPr>
          <w:p>
            <w:pPr>
              <w:jc w:val="center"/>
            </w:pPr>
            <w:r/>
            <w:r>
              <w:rPr>
                <w:b w:val="0"/>
                <w:sz w:val="18"/>
              </w:rPr>
              <w:t>4</w:t>
            </w:r>
          </w:p>
        </w:tc>
        <w:tc>
          <w:tcPr>
            <w:tcW w:type="dxa" w:w="2211"/>
            <w:vAlign w:val="center"/>
          </w:tcPr>
          <w:p>
            <w:pPr>
              <w:jc w:val="center"/>
            </w:pPr>
            <w:r/>
            <w:r>
              <w:rPr>
                <w:b w:val="0"/>
                <w:sz w:val="18"/>
              </w:rPr>
              <w:t>Socialization</w:t>
            </w:r>
          </w:p>
        </w:tc>
        <w:tc>
          <w:tcPr>
            <w:tcW w:type="dxa" w:w="1899"/>
            <w:vAlign w:val="center"/>
          </w:tcPr>
          <w:p>
            <w:pPr>
              <w:jc w:val="center"/>
            </w:pPr>
            <w:r/>
            <w:r>
              <w:rPr>
                <w:b w:val="0"/>
                <w:sz w:val="18"/>
              </w:rPr>
              <w:t>Ritual, connoisseurship, education, markets</w:t>
            </w:r>
          </w:p>
        </w:tc>
        <w:tc>
          <w:tcPr>
            <w:tcW w:type="dxa" w:w="1899"/>
            <w:vAlign w:val="center"/>
          </w:tcPr>
          <w:p>
            <w:pPr>
              <w:jc w:val="center"/>
            </w:pPr>
            <w:r/>
            <w:r>
              <w:rPr>
                <w:b w:val="0"/>
                <w:sz w:val="18"/>
              </w:rPr>
              <w:t>Taste becomes competence, belonging, status, or identity.</w:t>
            </w:r>
          </w:p>
        </w:tc>
      </w:tr>
      <w:tr>
        <w:tc>
          <w:tcPr>
            <w:tcW w:type="dxa" w:w="1361"/>
            <w:vAlign w:val="center"/>
          </w:tcPr>
          <w:p>
            <w:pPr>
              <w:jc w:val="center"/>
            </w:pPr>
            <w:r/>
            <w:r>
              <w:rPr>
                <w:b w:val="0"/>
                <w:sz w:val="18"/>
              </w:rPr>
              <w:t>5</w:t>
            </w:r>
          </w:p>
        </w:tc>
        <w:tc>
          <w:tcPr>
            <w:tcW w:type="dxa" w:w="2211"/>
            <w:vAlign w:val="center"/>
          </w:tcPr>
          <w:p>
            <w:pPr>
              <w:jc w:val="center"/>
            </w:pPr>
            <w:r>
              <w:rPr>
                <w:sz w:val="17"/>
              </w:rPr>
            </w:r>
            <w:r>
              <w:rPr>
                <w:b w:val="0"/>
                <w:sz w:val="17"/>
              </w:rPr>
              <w:t>Recontextualization</w:t>
            </w:r>
          </w:p>
        </w:tc>
        <w:tc>
          <w:tcPr>
            <w:tcW w:type="dxa" w:w="1899"/>
            <w:vAlign w:val="center"/>
          </w:tcPr>
          <w:p>
            <w:pPr>
              <w:jc w:val="center"/>
            </w:pPr>
            <w:r/>
            <w:r>
              <w:rPr>
                <w:b w:val="0"/>
                <w:sz w:val="18"/>
              </w:rPr>
              <w:t>New media, markets, heritage narratives, lifestyle forms</w:t>
            </w:r>
          </w:p>
        </w:tc>
        <w:tc>
          <w:tcPr>
            <w:tcW w:type="dxa" w:w="1899"/>
            <w:vAlign w:val="center"/>
          </w:tcPr>
          <w:p>
            <w:pPr>
              <w:jc w:val="center"/>
            </w:pPr>
            <w:r/>
            <w:r>
              <w:rPr>
                <w:b w:val="0"/>
                <w:sz w:val="18"/>
              </w:rPr>
              <w:t>Existing tea practices acquire new meanings and uses.</w:t>
            </w:r>
          </w:p>
        </w:tc>
      </w:tr>
    </w:tbl>
    <w:p>
      <w:pPr>
        <w:pStyle w:val="Caption"/>
        <w:jc w:val="center"/>
      </w:pPr>
      <w:r>
        <w:t>Table 2. Five-Stage Model of Tea Aestheticization. Source: Author’s synthesis.</w:t>
      </w:r>
    </w:p>
    <w:p>
      <w:pPr>
        <w:widowControl/>
      </w:pPr>
      <w:r>
        <w:t>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widowControl/>
      </w:pPr>
      <w:r>
        <w:t>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widowControl/>
      </w:pPr>
      <w:r>
        <w:t>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widowControl/>
      </w:pPr>
      <w:r>
        <w:t>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IntechOpen"/>
        <w:keepNext/>
        <w:widowControl/>
      </w:pPr>
      <w:r>
        <w:t>10. Conclusion</w:t>
      </w:r>
    </w:p>
    <w:p>
      <w:pPr>
        <w:widowControl/>
      </w:pPr>
      <w:r>
        <w:t>This chapter has argued that the cultural history of tea is best understood not as the progressive accumulation of symbolic meanings around a stable botanical object, but as an ongoing process of material and sensory mediation. Camellia sinensis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widowControl/>
      </w:pPr>
      <w:r>
        <w:t>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widowControl/>
      </w:pPr>
      <w:r>
        <w:t>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widowControl/>
      </w:pPr>
      <w:r>
        <w:t>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widowControl/>
      </w:pPr>
      <w:r>
        <w:t>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widowControl/>
      </w:pPr>
      <w:r>
        <w:t>To follow the leaf across these transformations is ultimately to see that aesthetic culture is not produced by minds alone. It is generated through encounters among plants, substances, tools, bodies, texts, images, institutions, and environments. The cultural history of Camellia sinensis is therefore also a history of how humans learn to perceive matter—and how matter, through its affordances and resistances, helps shape the cultural forms through which humans perceive themselves.</w:t>
      </w:r>
    </w:p>
    <w:p>
      <w:pPr>
        <w:pStyle w:val="Heading1IntechOpen"/>
        <w:keepNext/>
        <w:widowControl/>
      </w:pPr>
      <w:r>
        <w:t>Acknowledgments</w:t>
      </w:r>
    </w:p>
    <w:p>
      <w:pPr>
        <w:widowControl/>
      </w:pPr>
      <w:r>
        <w:t>The author thanks the Council on East Asian Studies at Yale University for making publicly available information about the lecture and archival materials that informed the discussion of Rai San’yō and sencha. [22]</w:t>
      </w:r>
    </w:p>
    <w:p>
      <w:pPr>
        <w:pStyle w:val="Heading1IntechOpen"/>
        <w:keepNext/>
        <w:widowControl/>
      </w:pPr>
      <w:r>
        <w:t>Conflict of Interest</w:t>
      </w:r>
    </w:p>
    <w:p>
      <w:pPr>
        <w:widowControl/>
      </w:pPr>
      <w:r>
        <w:t>The author declares no conflict of interest.</w:t>
      </w:r>
    </w:p>
    <w:p>
      <w:pPr>
        <w:pStyle w:val="Heading1IntechOpen"/>
        <w:keepNext/>
        <w:widowControl/>
      </w:pPr>
      <w:r>
        <w:t>References</w:t>
      </w:r>
    </w:p>
    <w:p>
      <w:pPr>
        <w:widowControl/>
        <w:spacing w:after="80"/>
        <w:ind w:hanging="360" w:left="360"/>
      </w:pPr>
      <w:r>
        <w:t>[1] Shimamura Y. 頼山陽と煎茶: 近世後期の文人の趣味とその精神性に関する試論 [Rai Sanyō to sencha: Kinsei kōki no bunjin no shumi to sono seishinsei ni kansuru shiron]. Tokyo: Kasama Shoin; 2022. ISBN 9784305709585.</w:t>
      </w:r>
    </w:p>
    <w:p>
      <w:pPr>
        <w:ind w:left="360" w:hanging="360"/>
      </w:pPr>
      <w:r>
        <w:t>[2] Brown TG. 風水之理：從法律、環境到近代化，清帝國的地方治理與社會秩序 [Laws of the Land: Fengshui and the State in Qing Dynasty China]. Translated by Chen MQ. Taipei: 畢方文化; 2026. ISBN 9786267816059.</w:t>
      </w:r>
    </w:p>
    <w:p>
      <w:pPr>
        <w:widowControl/>
        <w:spacing w:after="80"/>
        <w:ind w:hanging="360" w:left="360"/>
      </w:pPr>
      <w:r>
        <w:t>[3] Zhu VJ. The Visual Ethnographer’s Data Other: Secrets Unveiled for a Sociological J. M. Coetzee. Eliva Press; 2026.</w:t>
      </w:r>
    </w:p>
    <w:p>
      <w:pPr>
        <w:widowControl/>
        <w:spacing w:after="80"/>
        <w:ind w:hanging="360" w:left="360"/>
      </w:pPr>
      <w:r>
        <w:t>[4] Zhu VJ. Sino-Japanese Literature in Perspective: A Short Communication to the World Literature. Edited by Irina Lungu. Chișinău: Eliva Press; 2026.</w:t>
      </w:r>
    </w:p>
    <w:p>
      <w:pPr>
        <w:widowControl/>
        <w:spacing w:after="80"/>
        <w:ind w:hanging="360" w:left="360"/>
      </w:pPr>
      <w:r>
        <w:t>[5] Appadurai A, editor. The Social Life of Things: Commodities in Cultural Perspective. Cambridge: Cambridge University Press; 1986. DOI: 10.1017/CBO9780511819582.</w:t>
      </w:r>
    </w:p>
    <w:p>
      <w:pPr>
        <w:widowControl/>
        <w:spacing w:after="80"/>
        <w:ind w:hanging="360" w:left="360"/>
      </w:pPr>
      <w:r>
        <w:t>[6] Kopytoff I. The cultural biography of things: commoditization as process. In: Appadurai A, editor. The Social Life of Things: Commodities in Cultural Perspective. Cambridge: Cambridge University Press; 1986. p. 64–92. DOI: 10.1017/CBO9780511819582.004.</w:t>
      </w:r>
    </w:p>
    <w:p>
      <w:pPr>
        <w:widowControl/>
        <w:spacing w:after="80"/>
        <w:ind w:hanging="360" w:left="360"/>
      </w:pPr>
      <w:r>
        <w:t>[7] Ingold T. Materials against materiality. Archaeological Dialogues. 2007;14(1):1–16. DOI: 10.1017/S1380203807002127.</w:t>
      </w:r>
    </w:p>
    <w:p>
      <w:pPr>
        <w:widowControl/>
        <w:spacing w:after="80"/>
        <w:ind w:hanging="360" w:left="360"/>
      </w:pPr>
      <w:r>
        <w:t>[8] Ingold T. Making: Anthropology, Archaeology, Art and Architecture. London: Routledge; 2013.</w:t>
      </w:r>
    </w:p>
    <w:p>
      <w:pPr>
        <w:widowControl/>
        <w:spacing w:after="80"/>
        <w:ind w:hanging="360" w:left="360"/>
      </w:pPr>
      <w:r>
        <w:t>[9] Benn JA. Tea in China: A Religious and Cultural History. Honolulu: University of Hawai’i Press; 2015. DOI: 10.21313/hawaii/9780824839635.001.0001.</w:t>
      </w:r>
    </w:p>
    <w:p>
      <w:pPr>
        <w:widowControl/>
        <w:spacing w:after="80"/>
        <w:ind w:hanging="360" w:left="360"/>
      </w:pPr>
      <w:r>
        <w:t>[10] Benn JA. Tea poetry in Tang China. In: Tea in China: A Religious and Cultural History. Honolulu: University of Hawai’i Press; 2015. p. 72–95. DOI: 10.21313/hawaii/9780824839635.003.0004.</w:t>
      </w:r>
    </w:p>
    <w:p>
      <w:pPr>
        <w:widowControl/>
        <w:spacing w:after="80"/>
        <w:ind w:hanging="360" w:left="360"/>
      </w:pPr>
      <w:r>
        <w:t>[11] Mair VH, Hoh E. The True History of Tea. London; New York: Thames &amp; Hudson; 2009.</w:t>
      </w:r>
    </w:p>
    <w:p>
      <w:pPr>
        <w:widowControl/>
        <w:spacing w:after="80"/>
        <w:ind w:hanging="360" w:left="360"/>
      </w:pPr>
      <w:r>
        <w:t>[12] Varley HP, Kumakura I, editors. Tea in Japan: Essays on the History of Chanoyu. Honolulu: University of Hawai’i Press; 1989. DOI: 10.1515/9780824844394.</w:t>
      </w:r>
    </w:p>
    <w:p>
      <w:pPr>
        <w:widowControl/>
        <w:spacing w:after="80"/>
        <w:ind w:hanging="360" w:left="360"/>
      </w:pPr>
      <w:r>
        <w:t>[13] Pitelka M, editor. Japanese Tea Culture: Art, History and Practice. London: Routledge; 2013.</w:t>
      </w:r>
    </w:p>
    <w:p>
      <w:pPr>
        <w:widowControl/>
        <w:spacing w:after="80"/>
        <w:ind w:hanging="360" w:left="360"/>
      </w:pPr>
      <w:r>
        <w:t>[14] Kumakura I. Japanese Tea Culture: The Heart and Form of Chanoyu. Translated by Martha J. McClintock. Tokyo: Japan Publishing Industry Foundation for Culture; 2023. DOI: 10.2307/jj.2840648.</w:t>
      </w:r>
    </w:p>
    <w:p>
      <w:pPr>
        <w:widowControl/>
        <w:spacing w:after="80"/>
        <w:ind w:hanging="360" w:left="360"/>
      </w:pPr>
      <w:r>
        <w:t>[15] Carriger ML. Tea cultures of Japan. In: Goldstein D, editor-in-chief. Oxford Research Encyclopedia of Food Studies. Oxford: Oxford University Press; 2026. DOI: 10.1093/9780197852538.003.0250.</w:t>
      </w:r>
    </w:p>
    <w:p>
      <w:pPr>
        <w:widowControl/>
        <w:spacing w:after="80"/>
        <w:ind w:hanging="360" w:left="360"/>
      </w:pPr>
      <w:r>
        <w:t>[16] Bourdieu P. Distinction: A Social Critique of the Judgement of Taste. Translated by Richard Nice. Cambridge, MA: Harvard University Press; 1984.</w:t>
      </w:r>
    </w:p>
    <w:p>
      <w:pPr>
        <w:widowControl/>
        <w:spacing w:after="80"/>
        <w:ind w:hanging="360" w:left="360"/>
      </w:pPr>
      <w:r>
        <w:t>[17] Hellyer R. Green with Milk and Sugar: When Japan Filled America’s Tea Cups. New York: Columbia University Press; 2021. DOI: 10.7312/hell19910.</w:t>
      </w:r>
    </w:p>
    <w:p>
      <w:pPr>
        <w:widowControl/>
        <w:spacing w:after="80"/>
        <w:ind w:hanging="360" w:left="360"/>
      </w:pPr>
      <w:r>
        <w:t>[18] Oshikiri T. The Shogun’s tea jar: ritual, material culture, and political authority in early modern Japan. The Historical Journal. 2016;59(4):927–945. DOI: 10.1017/S0018246X1600008X.</w:t>
      </w:r>
    </w:p>
    <w:p>
      <w:pPr>
        <w:widowControl/>
        <w:spacing w:after="80"/>
        <w:ind w:hanging="360" w:left="360"/>
      </w:pPr>
      <w:r>
        <w:t>[19] Sen Sōshitsu XV. The Japanese Way of Tea: From Its Origins in China to Sen Rikyu. Translated by V. Dixon Morris. Honolulu: University of Hawai’i Press; 1998. DOI: 10.1515/9780824864804.</w:t>
      </w:r>
    </w:p>
    <w:p>
      <w:pPr>
        <w:widowControl/>
        <w:spacing w:after="80"/>
        <w:ind w:hanging="360" w:left="360"/>
      </w:pPr>
      <w:r>
        <w:t>[20] Lee HC, Kwon SH. The invention and promotion of cha-rye in Korea. Asian Journal of Social Science. 2022;50(3):171–177. DOI: 10.1016/j.ajss.2022.06.004.</w:t>
      </w:r>
    </w:p>
    <w:p>
      <w:pPr>
        <w:widowControl/>
        <w:spacing w:after="80"/>
        <w:ind w:hanging="360" w:left="360"/>
      </w:pPr>
      <w:r>
        <w:t>[21] de Certeau M. The Practice of Everyday Life. Volume 1. Translated by Steven Rendall. Berkeley: University of California Press; 1984.</w:t>
      </w:r>
    </w:p>
    <w:p>
      <w:pPr>
        <w:widowControl/>
        <w:spacing w:after="80"/>
        <w:ind w:hanging="360" w:left="360"/>
      </w:pPr>
      <w:r>
        <w:t>[22] Yale Council on East Asian Studies. Steeped in Art and Nature: On Rai San’yō’s “Sanshi Suimeisho”. Yale University; 2026.</w:t>
      </w:r>
    </w:p>
    <w:sectPr>
      <w:footerReference w:type="default" r:id="rId9"/>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Line">
    <w:name w:val="AuthorLine"/>
    <w:pPr>
      <w:spacing w:after="100"/>
      <w:jc w:val="center"/>
    </w:pPr>
    <w:rPr>
      <w:rFonts w:ascii="Times New Roman" w:hAnsi="Times New Roman"/>
      <w:b w:val="0"/>
      <w:i w:val="0"/>
      <w:sz w:val="22"/>
    </w:rPr>
  </w:style>
  <w:style w:type="paragraph" w:customStyle="1" w:styleId="AffiliationLine">
    <w:name w:val="AffiliationLine"/>
    <w:pPr>
      <w:spacing w:after="100"/>
      <w:jc w:val="center"/>
    </w:pPr>
    <w:rPr>
      <w:rFonts w:ascii="Times New Roman" w:hAnsi="Times New Roman"/>
      <w:b w:val="0"/>
      <w:i/>
      <w:sz w:val="21"/>
    </w:rPr>
  </w:style>
  <w:style w:type="paragraph" w:customStyle="1" w:styleId="Label">
    <w:name w:val="Label"/>
    <w:pPr>
      <w:spacing w:after="100"/>
      <w:jc w:val="center"/>
    </w:pPr>
    <w:rPr>
      <w:rFonts w:ascii="Times New Roman" w:hAnsi="Times New Roman"/>
      <w:b/>
      <w:i w:val="0"/>
      <w:sz w:val="22"/>
    </w:rPr>
  </w:style>
  <w:style w:type="paragraph" w:customStyle="1" w:styleId="Heading1IntechOpen">
    <w:name w:val="Heading 1 IntechOpen"/>
    <w:basedOn w:val="Heading1"/>
    <w:pPr>
      <w:keepNext/>
      <w:spacing w:before="240" w:after="120"/>
    </w:pPr>
    <w:rPr>
      <w:rFonts w:ascii="Times New Roman" w:hAnsi="Times New Roman"/>
      <w:b/>
      <w:sz w:val="26"/>
    </w:rPr>
  </w:style>
  <w:style w:type="paragraph" w:customStyle="1" w:styleId="Heading2IntechOpen">
    <w:name w:val="Heading 2 IntechOpen"/>
    <w:basedOn w:val="Heading2"/>
    <w:pPr>
      <w:keepNext/>
      <w:spacing w:before="180" w:after="80"/>
    </w:pPr>
    <w:rPr>
      <w:rFonts w:ascii="Times New Roman" w:hAnsi="Times New Roman"/>
      <w:b/>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Aestheticizing the Leaf: Literary, Visual, and Cultural Consumption of Tea in East Asia</dc:title>
  <dc:subject>Full Chapter Submission - Tea - From Plant to Beverage</dc:subject>
  <dc:creator/>
  <cp:keywords>Tea Culture; Camellia sinensis; East Asian Literature; Visual Arts; Material Culture; Cultural Consumption; Aestheticization</cp:keywords>
  <dc:description>generated by python-docx</dc:description>
  <cp:lastModifiedBy/>
  <cp:revision>1</cp:revision>
  <dcterms:created xsi:type="dcterms:W3CDTF">2013-12-23T23:15:00Z</dcterms:created>
  <dcterms:modified xsi:type="dcterms:W3CDTF">2013-12-23T23:15:00Z</dcterms:modified>
  <cp:category/>
</cp:coreProperties>
</file>