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Aestheticizing the Leaf: Literary, Visual, and Cultural Consumption of Tea in East Asia</w:t>
      </w:r>
    </w:p>
    <w:p>
      <w:pPr>
        <w:pStyle w:val="AuthorLine"/>
        <w:widowControl/>
      </w:pPr>
      <w:r>
        <w:t>Vivien Jiaqian Zhu</w:t>
      </w:r>
    </w:p>
    <w:p>
      <w:pPr>
        <w:pStyle w:val="AffiliationLine"/>
        <w:widowControl/>
      </w:pPr>
      <w:r>
        <w:t>Stanford University, United States</w:t>
      </w:r>
    </w:p>
    <w:p>
      <w:pPr>
        <w:pStyle w:val="Label"/>
        <w:widowControl/>
        <w:jc w:val="left"/>
      </w:pPr>
      <w:r>
        <w:t>Abstract</w:t>
      </w:r>
    </w:p>
    <w:p>
      <w:pPr>
        <w:widowControl/>
        <w:ind w:firstLine="360"/>
      </w:pPr>
      <w:r>
        <w:t xml:space="preserve">This chapter theorizes the cultural transformation of </w:t>
      </w:r>
      <w:r>
        <w:rPr>
          <w:i/>
        </w:rPr>
        <w:t>Camellia sinensis</w:t>
      </w:r>
      <w:r>
        <w:t xml:space="preserve">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premodern and early modern traditions through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pStyle w:val="Label"/>
        <w:widowControl/>
        <w:jc w:val="left"/>
      </w:pPr>
      <w:r>
        <w:t>Keywords</w:t>
      </w:r>
    </w:p>
    <w:p>
      <w:pPr>
        <w:widowControl/>
        <w:ind w:firstLine="0"/>
      </w:pPr>
      <w:r>
        <w:t>Camellia sinensis; Tea Culture; East Asian Literature; Visual Arts; Material Culture; Cultural Consumption; Tea Ritual; Aroma; Tea Utensils; Aestheticization; Japanese Tea; Authenticity</w:t>
      </w:r>
    </w:p>
    <w:p>
      <w:pPr>
        <w:pStyle w:val="Heading1"/>
        <w:keepNext/>
        <w:widowControl/>
      </w:pPr>
      <w:r>
        <w:t>1. Introduction</w:t>
      </w:r>
    </w:p>
    <w:p>
      <w:pPr>
        <w:widowControl/>
      </w:pPr>
      <w: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[12, 21].</w:t>
      </w:r>
    </w:p>
    <w:p>
      <w:pPr>
        <w:widowControl/>
      </w:pPr>
      <w:r>
        <w:t xml:space="preserve">This scene offers a compact illustration of the argument developed throughout this chapter: that </w:t>
      </w:r>
      <w:r>
        <w:rPr>
          <w:i/>
        </w:rPr>
        <w:t>Camellia sinensis</w:t>
      </w:r>
      <w:r>
        <w:t>,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widowControl/>
      </w:pPr>
      <w:r>
        <w:t xml:space="preserve">This attention to materiality and sensory mediation also extends a methodological concern developed in my recent work. In </w:t>
      </w:r>
      <w:r>
        <w:rPr>
          <w:i/>
        </w:rPr>
        <w:t>The Visual Ethnographer’s Data Other: Secrets Unveiled for a Sociological J. M. Coetzee</w:t>
      </w:r>
      <w:r>
        <w:t xml:space="preserv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widowControl/>
      </w:pPr>
      <w:r>
        <w:t xml:space="preserve">The present chapter also extends a methodological trajectory developed in </w:t>
      </w:r>
      <w:r>
        <w:rPr>
          <w:i/>
        </w:rPr>
        <w:t>Sino-Japanese Literature in Perspective: A Short Communication to the World Literature</w:t>
      </w:r>
      <w:r>
        <w:t xml:space="preserve"> (Eliva Press, 2026), which approaches Sino-Japanese literary discourse through comparative literary analysis, visual-cultural interpretation, and attention to cross-cultural exchange [20].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w:t>
      </w:r>
      <w:r>
        <w:rPr>
          <w:i/>
        </w:rPr>
        <w:t>Camellia sinensis</w:t>
      </w:r>
      <w:r>
        <w:t xml:space="preserve"> develops a more materially grounded account of transregional cultural production, asking how botanical matter itself participates in the formation of literary, visual, ritual, and consumer practices across East Asia.</w:t>
      </w:r>
    </w:p>
    <w:p>
      <w:pPr>
        <w:widowControl/>
      </w:pPr>
      <w:r>
        <w:t>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widowControl/>
      </w:pPr>
      <w:r>
        <w:t>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keepNext/>
        <w:widowControl/>
      </w:pPr>
      <w:r>
        <w:t>2. Botanical Materiality and the Cultural Life of Tea</w:t>
      </w:r>
    </w:p>
    <w:p>
      <w:pPr>
        <w:widowControl/>
      </w:pPr>
      <w:r>
        <w:t xml:space="preserve">The analytical problem of tea begins with an apparently simple distinction: a leaf is not yet a cup of tea. </w:t>
      </w:r>
      <w:r>
        <w:rPr>
          <w:i/>
        </w:rPr>
        <w:t>Camellia sinensis</w:t>
      </w:r>
      <w:r>
        <w:t xml:space="preserve">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r>
        <w:t xml:space="preserve"> Figure 1 summarizes this sequence of material transformations from plant to culturally valued beverage.</w:t>
      </w:r>
    </w:p>
    <w:p/>
    <w:p>
      <w:pPr>
        <w:jc w:val="center"/>
      </w:pPr>
      <w:r>
        <w:drawing>
          <wp:inline xmlns:a="http://schemas.openxmlformats.org/drawingml/2006/main" xmlns:pic="http://schemas.openxmlformats.org/drawingml/2006/picture">
            <wp:extent cx="4114800" cy="2880360"/>
            <wp:docPr id="1" name="Picture 1" descr="Flow diagram showing six stages from Camellia sinensis plant and harvest through processing, brewing, sensory experience, and cultural valuation."/>
            <wp:cNvGraphicFramePr>
              <a:graphicFrameLocks noChangeAspect="1"/>
            </wp:cNvGraphicFramePr>
            <a:graphic>
              <a:graphicData uri="http://schemas.openxmlformats.org/drawingml/2006/picture">
                <pic:pic>
                  <pic:nvPicPr>
                    <pic:cNvPr id="0" name="Figure_1_Plant_to_Beverage_300dpi.png"/>
                    <pic:cNvPicPr/>
                  </pic:nvPicPr>
                  <pic:blipFill>
                    <a:blip r:embed="rId10"/>
                    <a:stretch>
                      <a:fillRect/>
                    </a:stretch>
                  </pic:blipFill>
                  <pic:spPr>
                    <a:xfrm>
                      <a:off x="0" y="0"/>
                      <a:ext cx="4114800" cy="2880360"/>
                    </a:xfrm>
                    <a:prstGeom prst="rect"/>
                  </pic:spPr>
                </pic:pic>
              </a:graphicData>
            </a:graphic>
          </wp:inline>
        </w:drawing>
      </w:r>
    </w:p>
    <w:p/>
    <w:p>
      <w:pPr>
        <w:pStyle w:val="Caption"/>
        <w:jc w:val="center"/>
      </w:pPr>
      <w:r>
        <w:t>Figure 1. From Plant to Beverage: Material Transformations of Tea. Source: Author’s synthesis.</w:t>
      </w:r>
    </w:p>
    <w:p>
      <w:pPr>
        <w:pStyle w:val="Heading2"/>
        <w:keepNext/>
        <w:widowControl/>
      </w:pPr>
      <w:r>
        <w:t>2.1 Materials, Value, and Cultural Biography</w:t>
      </w:r>
    </w:p>
    <w:p>
      <w:pPr>
        <w:widowControl/>
      </w:pPr>
      <w:r>
        <w:t>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widowControl/>
      </w:pPr>
      <w:r>
        <w:t>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widowControl/>
      </w:pPr>
      <w:r>
        <w:t>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widowControl/>
      </w:pPr>
      <w:r>
        <w:t>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widowControl/>
      </w:pPr>
      <w:r>
        <w:t>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widowControl/>
      </w:pPr>
      <w:r>
        <w:t>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widowControl/>
      </w:pPr>
      <w:r>
        <w:t>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keepNext/>
        <w:widowControl/>
      </w:pPr>
      <w:r>
        <w:t>3. From Leaf to Beverage: Processing, Sensory Experience, and Knowledge</w:t>
      </w:r>
    </w:p>
    <w:p>
      <w:pPr>
        <w:pStyle w:val="Heading2"/>
        <w:keepNext/>
        <w:widowControl/>
      </w:pPr>
      <w:r>
        <w:t>3.1 Processing as Mediation</w:t>
      </w:r>
    </w:p>
    <w:p>
      <w:pPr>
        <w:widowControl/>
      </w:pPr>
      <w:r>
        <w:t>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widowControl/>
      </w:pPr>
      <w:r>
        <w:t>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widowControl/>
      </w:pPr>
      <w:r>
        <w:t>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widowControl/>
      </w:pPr>
      <w:r>
        <w:t>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widowControl/>
      </w:pPr>
      <w:r>
        <w:t>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widowControl/>
      </w:pPr>
      <w:r>
        <w:t>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widowControl/>
      </w:pPr>
      <w:r>
        <w:t>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widowControl/>
      </w:pPr>
      <w:r>
        <w:t>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keepNext/>
        <w:widowControl/>
      </w:pPr>
      <w:r>
        <w:t>4. Literary and Visual Cultures of Tea</w:t>
      </w:r>
    </w:p>
    <w:p>
      <w:pPr>
        <w:pStyle w:val="Heading2"/>
        <w:keepNext/>
        <w:widowControl/>
      </w:pPr>
      <w:r>
        <w:t>4.1 Literature as Sensory Mediation</w:t>
      </w:r>
    </w:p>
    <w:p>
      <w:pPr>
        <w:widowControl/>
      </w:pPr>
      <w:r>
        <w:t>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widowControl/>
      </w:pPr>
      <w:r>
        <w:t>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widowControl/>
      </w:pPr>
      <w:r>
        <w:t>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widowControl/>
      </w:pPr>
      <w:r>
        <w:t>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r>
        <w:t xml:space="preserve"> Figure 2 conceptualizes these reciprocal relations among botanical matter, sensory experience, utensils and space, ritual and body, literature and image, and markets and identity.</w:t>
      </w:r>
    </w:p>
    <w:p/>
    <w:p>
      <w:pPr>
        <w:jc w:val="center"/>
      </w:pPr>
      <w:r>
        <w:drawing>
          <wp:inline xmlns:a="http://schemas.openxmlformats.org/drawingml/2006/main" xmlns:pic="http://schemas.openxmlformats.org/drawingml/2006/picture">
            <wp:extent cx="4114800" cy="2777490"/>
            <wp:docPr id="2" name="Picture 2" descr="Conceptual diagram placing tea as an aesthetic medium at the center of botanical matter, sensory experience, utensils and space, ritual and body, literature and image, and markets and identity."/>
            <wp:cNvGraphicFramePr>
              <a:graphicFrameLocks noChangeAspect="1"/>
            </wp:cNvGraphicFramePr>
            <a:graphic>
              <a:graphicData uri="http://schemas.openxmlformats.org/drawingml/2006/picture">
                <pic:pic>
                  <pic:nvPicPr>
                    <pic:cNvPr id="0" name="Figure_2_Intermedial_Tea_Culture_300dpi.png"/>
                    <pic:cNvPicPr/>
                  </pic:nvPicPr>
                  <pic:blipFill>
                    <a:blip r:embed="rId11"/>
                    <a:stretch>
                      <a:fillRect/>
                    </a:stretch>
                  </pic:blipFill>
                  <pic:spPr>
                    <a:xfrm>
                      <a:off x="0" y="0"/>
                      <a:ext cx="4114800" cy="2777490"/>
                    </a:xfrm>
                    <a:prstGeom prst="rect"/>
                  </pic:spPr>
                </pic:pic>
              </a:graphicData>
            </a:graphic>
          </wp:inline>
        </w:drawing>
      </w:r>
    </w:p>
    <w:p/>
    <w:p>
      <w:pPr>
        <w:pStyle w:val="Caption"/>
        <w:jc w:val="center"/>
      </w:pPr>
      <w:r>
        <w:t>Figure 2. Tea as an Intermedial Cultural Medium. Source: Author’s synthesis.</w:t>
      </w:r>
    </w:p>
    <w:p>
      <w:pPr>
        <w:widowControl/>
      </w:pPr>
      <w:r>
        <w:t xml:space="preserve">The same principle appears clearly in the history of Japanese tea. Varley and Kumakura’s </w:t>
      </w:r>
      <w:r>
        <w:rPr>
          <w:i/>
        </w:rPr>
        <w:t>Tea in Japan</w:t>
      </w:r>
      <w:r>
        <w:t xml:space="preserve"> stresses that chanoyu developed through an interaction of architecture, gardens, ceramics, lacquerware, painting, calligraphy, interior design, and ritual [8]. Pitelka’s </w:t>
      </w:r>
      <w:r>
        <w:rPr>
          <w:i/>
        </w:rPr>
        <w:t>Japanese Tea Culture: Art, History and Practice</w:t>
      </w:r>
      <w:r>
        <w:t xml:space="preserv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widowControl/>
      </w:pPr>
      <w:r>
        <w:t xml:space="preserve">Kumakura’s more recent account makes the same point through practice. His </w:t>
      </w:r>
      <w:r>
        <w:rPr>
          <w:i/>
        </w:rPr>
        <w:t>Japanese Tea Culture: The Heart and Form of Chanoyu</w:t>
      </w:r>
      <w:r>
        <w:t xml:space="preserve">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widowControl/>
      </w:pPr>
      <w:r>
        <w:t>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widowControl/>
      </w:pPr>
      <w:r>
        <w:t>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widowControl/>
      </w:pPr>
      <w:r>
        <w:t>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keepNext/>
        <w:widowControl/>
      </w:pPr>
      <w:r>
        <w:t>5. Sencha, Literati Culture, and the Social Performance of Taste</w:t>
      </w:r>
    </w:p>
    <w:p>
      <w:pPr>
        <w:pStyle w:val="Heading2"/>
        <w:keepNext/>
        <w:widowControl/>
      </w:pPr>
      <w:r>
        <w:t>5.1 Literati Sociability and Connoisseurship</w:t>
      </w:r>
    </w:p>
    <w:p>
      <w:pPr>
        <w:widowControl/>
      </w:pPr>
      <w:r>
        <w:t>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widowControl/>
      </w:pPr>
      <w:r>
        <w:t>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widowControl/>
      </w:pPr>
      <w:r>
        <w:t>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widowControl/>
      </w:pPr>
      <w:r>
        <w:t>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widowControl/>
      </w:pPr>
      <w:r>
        <w:t>Yukitada Shimamura’s study of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widowControl/>
      </w:pPr>
      <w:r>
        <w:t>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widowControl/>
      </w:pPr>
      <w:r>
        <w:t>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widowControl/>
      </w:pPr>
      <w:r>
        <w:t>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widowControl/>
      </w:pPr>
      <w:r>
        <w:t>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keepNext/>
        <w:widowControl/>
      </w:pPr>
      <w:r>
        <w:t>6. Tea Utensils, Ritual, and Material Mediation</w:t>
      </w:r>
    </w:p>
    <w:p>
      <w:pPr>
        <w:pStyle w:val="Heading2"/>
        <w:keepNext/>
        <w:widowControl/>
      </w:pPr>
      <w:r>
        <w:t>6.1 Objects as Sensory Infrastructures</w:t>
      </w:r>
    </w:p>
    <w:p>
      <w:pPr>
        <w:widowControl/>
      </w:pPr>
      <w:r>
        <w:t>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widowControl/>
      </w:pPr>
      <w:r>
        <w:t>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widowControl/>
      </w:pPr>
      <w:r>
        <w:t>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widowControl/>
      </w:pPr>
      <w:r>
        <w:t>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widowControl/>
      </w:pPr>
      <w:r>
        <w:t>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widowControl/>
      </w:pPr>
      <w:r>
        <w:t>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widowControl/>
      </w:pPr>
      <w:r>
        <w:t>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widowControl/>
      </w:pPr>
      <w:r>
        <w:t>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widowControl/>
      </w:pPr>
      <w:r>
        <w:t>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widowControl/>
      </w:pPr>
      <w:r>
        <w:t>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keepNext/>
        <w:widowControl/>
      </w:pPr>
      <w:r>
        <w:t>7. East Asian Circulations: China, Japan, and Korea</w:t>
      </w:r>
    </w:p>
    <w:p>
      <w:pPr>
        <w:pStyle w:val="Heading2"/>
        <w:keepNext/>
        <w:widowControl/>
      </w:pPr>
      <w:r>
        <w:t>7.1 Regional Circulation and Reclassification</w:t>
      </w:r>
    </w:p>
    <w:p>
      <w:pPr>
        <w:widowControl/>
      </w:pPr>
      <w:r>
        <w:t>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widowControl/>
      </w:pPr>
      <w:r>
        <w:t>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widowControl/>
      </w:pPr>
      <w:r>
        <w:t>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widowControl/>
      </w:pPr>
      <w:r>
        <w:t>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widowControl/>
      </w:pPr>
      <w:r>
        <w:t>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widowControl/>
      </w:pPr>
      <w:r>
        <w:t>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widowControl/>
      </w:pPr>
      <w:r>
        <w:t>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r>
        <w:t xml:space="preserve"> Such a relation between material specificity and cultural valuation also appears in Tristan G. Brown’s study of fengshui in Qing China, which shows how landscape and environmental order could become objects of legal, social, and political valuation rather than functioning as a merely passive backdrop [21].</w:t>
      </w:r>
      <w:r>
        <w:t xml:space="preserve"> Table 2 compares these configurations across China, Japan, Korea, and the contemporary global market.</w:t>
      </w:r>
    </w:p>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512"/>
            <w:vAlign w:val="center"/>
          </w:tcPr>
          <w:p>
            <w:pPr>
              <w:jc w:val="center"/>
            </w:pPr>
            <w:r/>
            <w:r>
              <w:rPr>
                <w:b/>
                <w:sz w:val="19"/>
              </w:rPr>
              <w:t>Context</w:t>
            </w:r>
          </w:p>
        </w:tc>
        <w:tc>
          <w:tcPr>
            <w:tcW w:type="dxa" w:w="2592"/>
            <w:vAlign w:val="center"/>
          </w:tcPr>
          <w:p>
            <w:pPr>
              <w:jc w:val="center"/>
            </w:pPr>
            <w:r/>
            <w:r>
              <w:rPr>
                <w:b/>
                <w:sz w:val="19"/>
              </w:rPr>
              <w:t>Material / practice</w:t>
            </w:r>
          </w:p>
        </w:tc>
        <w:tc>
          <w:tcPr>
            <w:tcW w:type="dxa" w:w="2664"/>
            <w:vAlign w:val="center"/>
          </w:tcPr>
          <w:p>
            <w:pPr>
              <w:jc w:val="center"/>
            </w:pPr>
            <w:r/>
            <w:r>
              <w:rPr>
                <w:b/>
                <w:sz w:val="19"/>
              </w:rPr>
              <w:t>Mediating forms</w:t>
            </w:r>
          </w:p>
        </w:tc>
        <w:tc>
          <w:tcPr>
            <w:tcW w:type="dxa" w:w="2376"/>
            <w:vAlign w:val="center"/>
          </w:tcPr>
          <w:p>
            <w:pPr>
              <w:jc w:val="center"/>
            </w:pPr>
            <w:r/>
            <w:r>
              <w:rPr>
                <w:b/>
                <w:sz w:val="19"/>
              </w:rPr>
              <w:t>Valuation / identity</w:t>
            </w:r>
          </w:p>
        </w:tc>
      </w:tr>
      <w:tr>
        <w:tc>
          <w:tcPr>
            <w:tcW w:type="dxa" w:w="1512"/>
            <w:vAlign w:val="center"/>
          </w:tcPr>
          <w:p>
            <w:pPr>
              <w:jc w:val="center"/>
            </w:pPr>
            <w:r/>
            <w:r>
              <w:rPr>
                <w:b w:val="0"/>
                <w:sz w:val="18"/>
              </w:rPr>
              <w:t>China</w:t>
            </w:r>
          </w:p>
        </w:tc>
        <w:tc>
          <w:tcPr>
            <w:tcW w:type="dxa" w:w="2592"/>
            <w:vAlign w:val="center"/>
          </w:tcPr>
          <w:p>
            <w:pPr>
              <w:jc w:val="center"/>
            </w:pPr>
            <w:r/>
            <w:r>
              <w:rPr>
                <w:b w:val="0"/>
                <w:sz w:val="18"/>
              </w:rPr>
              <w:t>Tea leaf, processing, water, teaware</w:t>
            </w:r>
          </w:p>
        </w:tc>
        <w:tc>
          <w:tcPr>
            <w:tcW w:type="dxa" w:w="2664"/>
            <w:vAlign w:val="center"/>
          </w:tcPr>
          <w:p>
            <w:pPr>
              <w:jc w:val="center"/>
            </w:pPr>
            <w:r/>
            <w:r>
              <w:rPr>
                <w:b w:val="0"/>
                <w:sz w:val="18"/>
              </w:rPr>
              <w:t>Tea treatises, poetry, monastic and literary practice</w:t>
            </w:r>
          </w:p>
        </w:tc>
        <w:tc>
          <w:tcPr>
            <w:tcW w:type="dxa" w:w="2376"/>
            <w:vAlign w:val="center"/>
          </w:tcPr>
          <w:p>
            <w:pPr>
              <w:jc w:val="center"/>
            </w:pPr>
            <w:r/>
            <w:r>
              <w:rPr>
                <w:b w:val="0"/>
                <w:sz w:val="18"/>
              </w:rPr>
              <w:t>Knowledge, cultivation, sociability, medicinal and spiritual value</w:t>
            </w:r>
          </w:p>
        </w:tc>
      </w:tr>
      <w:tr>
        <w:tc>
          <w:tcPr>
            <w:tcW w:type="dxa" w:w="1512"/>
            <w:vAlign w:val="center"/>
          </w:tcPr>
          <w:p>
            <w:pPr>
              <w:jc w:val="center"/>
            </w:pPr>
            <w:r/>
            <w:r>
              <w:rPr>
                <w:b w:val="0"/>
                <w:sz w:val="18"/>
              </w:rPr>
              <w:t>Japan</w:t>
            </w:r>
          </w:p>
        </w:tc>
        <w:tc>
          <w:tcPr>
            <w:tcW w:type="dxa" w:w="2592"/>
            <w:vAlign w:val="center"/>
          </w:tcPr>
          <w:p>
            <w:pPr>
              <w:jc w:val="center"/>
            </w:pPr>
            <w:r/>
            <w:r>
              <w:rPr>
                <w:b w:val="0"/>
                <w:sz w:val="18"/>
              </w:rPr>
              <w:t>Sencha, matcha, bowls, rooms, utensils</w:t>
            </w:r>
          </w:p>
        </w:tc>
        <w:tc>
          <w:tcPr>
            <w:tcW w:type="dxa" w:w="2664"/>
            <w:vAlign w:val="center"/>
          </w:tcPr>
          <w:p>
            <w:pPr>
              <w:jc w:val="center"/>
            </w:pPr>
            <w:r/>
            <w:r>
              <w:rPr>
                <w:b w:val="0"/>
                <w:sz w:val="18"/>
              </w:rPr>
              <w:t>Chanoyu / senchadō, literati gatherings, visual and material arts</w:t>
            </w:r>
          </w:p>
        </w:tc>
        <w:tc>
          <w:tcPr>
            <w:tcW w:type="dxa" w:w="2376"/>
            <w:vAlign w:val="center"/>
          </w:tcPr>
          <w:p>
            <w:pPr>
              <w:jc w:val="center"/>
            </w:pPr>
            <w:r/>
            <w:r>
              <w:rPr>
                <w:b w:val="0"/>
                <w:sz w:val="18"/>
              </w:rPr>
              <w:t>Taste, connoisseurship, lineage, Japaneseness, social distinction</w:t>
            </w:r>
          </w:p>
        </w:tc>
      </w:tr>
      <w:tr>
        <w:tc>
          <w:tcPr>
            <w:tcW w:type="dxa" w:w="1512"/>
            <w:vAlign w:val="center"/>
          </w:tcPr>
          <w:p>
            <w:pPr>
              <w:jc w:val="center"/>
            </w:pPr>
            <w:r/>
            <w:r>
              <w:rPr>
                <w:b w:val="0"/>
                <w:sz w:val="18"/>
              </w:rPr>
              <w:t>Korea</w:t>
            </w:r>
          </w:p>
        </w:tc>
        <w:tc>
          <w:tcPr>
            <w:tcW w:type="dxa" w:w="2592"/>
            <w:vAlign w:val="center"/>
          </w:tcPr>
          <w:p>
            <w:pPr>
              <w:jc w:val="center"/>
            </w:pPr>
            <w:r/>
            <w:r>
              <w:rPr>
                <w:b w:val="0"/>
                <w:sz w:val="18"/>
              </w:rPr>
              <w:t>Tea, vessels, cha-rye, ritual settings</w:t>
            </w:r>
          </w:p>
        </w:tc>
        <w:tc>
          <w:tcPr>
            <w:tcW w:type="dxa" w:w="2664"/>
            <w:vAlign w:val="center"/>
          </w:tcPr>
          <w:p>
            <w:pPr>
              <w:jc w:val="center"/>
            </w:pPr>
            <w:r/>
            <w:r>
              <w:rPr>
                <w:b w:val="0"/>
                <w:sz w:val="18"/>
              </w:rPr>
              <w:t>Royal, Buddhist, literary, domestic and modern national forms</w:t>
            </w:r>
          </w:p>
        </w:tc>
        <w:tc>
          <w:tcPr>
            <w:tcW w:type="dxa" w:w="2376"/>
            <w:vAlign w:val="center"/>
          </w:tcPr>
          <w:p>
            <w:pPr>
              <w:jc w:val="center"/>
            </w:pPr>
            <w:r/>
            <w:r>
              <w:rPr>
                <w:b w:val="0"/>
                <w:sz w:val="18"/>
              </w:rPr>
              <w:t>Tradition, ritual continuity, cultural identity</w:t>
            </w:r>
          </w:p>
        </w:tc>
      </w:tr>
      <w:tr>
        <w:tc>
          <w:tcPr>
            <w:tcW w:type="dxa" w:w="1512"/>
            <w:vAlign w:val="center"/>
          </w:tcPr>
          <w:p>
            <w:pPr>
              <w:jc w:val="center"/>
            </w:pPr>
            <w:r/>
            <w:r>
              <w:rPr>
                <w:b w:val="0"/>
                <w:sz w:val="18"/>
              </w:rPr>
              <w:t>Contemporary global market</w:t>
            </w:r>
          </w:p>
        </w:tc>
        <w:tc>
          <w:tcPr>
            <w:tcW w:type="dxa" w:w="2592"/>
            <w:vAlign w:val="center"/>
          </w:tcPr>
          <w:p>
            <w:pPr>
              <w:jc w:val="center"/>
            </w:pPr>
            <w:r/>
            <w:r>
              <w:rPr>
                <w:b w:val="0"/>
                <w:sz w:val="18"/>
              </w:rPr>
              <w:t>Specialty leaves, packaging, brewing equipment</w:t>
            </w:r>
          </w:p>
        </w:tc>
        <w:tc>
          <w:tcPr>
            <w:tcW w:type="dxa" w:w="2664"/>
            <w:vAlign w:val="center"/>
          </w:tcPr>
          <w:p>
            <w:pPr>
              <w:jc w:val="center"/>
            </w:pPr>
            <w:r/>
            <w:r>
              <w:rPr>
                <w:b w:val="0"/>
                <w:sz w:val="18"/>
              </w:rPr>
              <w:t>Retail, social media, tasting notes, imagery, lifestyle discourse</w:t>
            </w:r>
          </w:p>
        </w:tc>
        <w:tc>
          <w:tcPr>
            <w:tcW w:type="dxa" w:w="2376"/>
            <w:vAlign w:val="center"/>
          </w:tcPr>
          <w:p>
            <w:pPr>
              <w:jc w:val="center"/>
            </w:pPr>
            <w:r/>
            <w:r>
              <w:rPr>
                <w:b w:val="0"/>
                <w:sz w:val="18"/>
              </w:rPr>
              <w:t>Authenticity, craft, provenance, wellness, heritage</w:t>
            </w:r>
          </w:p>
        </w:tc>
      </w:tr>
    </w:tbl>
    <w:p>
      <w:pPr>
        <w:pStyle w:val="Caption"/>
        <w:jc w:val="center"/>
      </w:pPr>
      <w:r>
        <w:t>Table 2. Comparative Material-Cultural Configurations of Tea in East Asia. Source: Author’s synthesis; see especially refs. [5], [8]–[10], [14], [16], and [17].</w:t>
      </w:r>
    </w:p>
    <w:p>
      <w:pPr>
        <w:pStyle w:val="Heading1"/>
        <w:keepNext/>
        <w:widowControl/>
      </w:pPr>
      <w:r>
        <w:t>8. Cultural Consumption, Authenticity, and the Contemporary Aestheticization of Tea</w:t>
      </w:r>
    </w:p>
    <w:p>
      <w:pPr>
        <w:pStyle w:val="Heading2"/>
        <w:keepNext/>
        <w:widowControl/>
      </w:pPr>
      <w:r>
        <w:t>8.1 Authenticity as a Valuation Practice</w:t>
      </w:r>
    </w:p>
    <w:p>
      <w:pPr>
        <w:widowControl/>
      </w:pPr>
      <w:r>
        <w:t>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widowControl/>
      </w:pPr>
      <w:r>
        <w:t>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widowControl/>
      </w:pPr>
      <w:r>
        <w:t>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widowControl/>
      </w:pPr>
      <w:r>
        <w:t>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widowControl/>
      </w:pPr>
      <w:r>
        <w:t>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widowControl/>
      </w:pPr>
      <w:r>
        <w:t>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widowControl/>
      </w:pPr>
      <w:r>
        <w:t>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widowControl/>
      </w:pPr>
      <w:r>
        <w:t>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widowControl/>
      </w:pPr>
      <w:r>
        <w:t>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widowControl/>
      </w:pPr>
      <w:r>
        <w:t>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keepNext/>
        <w:widowControl/>
      </w:pPr>
      <w:r>
        <w:t>9. Toward a Material-Cultural Theory of Aestheticization</w:t>
      </w:r>
    </w:p>
    <w:p>
      <w:pPr>
        <w:pStyle w:val="Heading2"/>
        <w:keepNext/>
        <w:widowControl/>
      </w:pPr>
      <w:r>
        <w:t>9.1 A Five-Stage Model of Aestheticization</w:t>
      </w:r>
    </w:p>
    <w:p>
      <w:pPr>
        <w:widowControl/>
      </w:pPr>
      <w:r>
        <w:t>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widowControl/>
      </w:pPr>
      <w:r>
        <w:t>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widowControl/>
      </w:pPr>
      <w:r>
        <w:t>Second, these differences are mediated through tools and bodies. Brewing vessels, water, heat, timing, hand movements, rooms, and serving sequences determine what can be perceived and how. The sensory world is therefore organized by material infrastructures.</w:t>
      </w:r>
    </w:p>
    <w:p>
      <w:pPr>
        <w:widowControl/>
      </w:pPr>
      <w:r>
        <w:t>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widowControl/>
      </w:pPr>
      <w:r>
        <w:t>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widowControl/>
      </w:pPr>
      <w:r>
        <w:t>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r>
        <w:t xml:space="preserve"> Figure 3 visualizes the recursive movement among the five stages.</w:t>
      </w:r>
    </w:p>
    <w:p/>
    <w:p>
      <w:pPr>
        <w:jc w:val="center"/>
      </w:pPr>
      <w:r>
        <w:drawing>
          <wp:inline xmlns:a="http://schemas.openxmlformats.org/drawingml/2006/main" xmlns:pic="http://schemas.openxmlformats.org/drawingml/2006/picture">
            <wp:extent cx="4114800" cy="2880360"/>
            <wp:docPr id="3" name="Picture 3" descr="Five-stage circular model of tea aestheticization: differentiation, mediation, stabilization, socialization, and recontextualization."/>
            <wp:cNvGraphicFramePr>
              <a:graphicFrameLocks noChangeAspect="1"/>
            </wp:cNvGraphicFramePr>
            <a:graphic>
              <a:graphicData uri="http://schemas.openxmlformats.org/drawingml/2006/picture">
                <pic:pic>
                  <pic:nvPicPr>
                    <pic:cNvPr id="0" name="Figure_3_Five_Stage_Aestheticization_300dpi.png"/>
                    <pic:cNvPicPr/>
                  </pic:nvPicPr>
                  <pic:blipFill>
                    <a:blip r:embed="rId12"/>
                    <a:stretch>
                      <a:fillRect/>
                    </a:stretch>
                  </pic:blipFill>
                  <pic:spPr>
                    <a:xfrm>
                      <a:off x="0" y="0"/>
                      <a:ext cx="4114800" cy="2880360"/>
                    </a:xfrm>
                    <a:prstGeom prst="rect"/>
                  </pic:spPr>
                </pic:pic>
              </a:graphicData>
            </a:graphic>
          </wp:inline>
        </w:drawing>
      </w:r>
    </w:p>
    <w:p/>
    <w:p>
      <w:pPr>
        <w:pStyle w:val="Caption"/>
        <w:jc w:val="center"/>
      </w:pPr>
      <w:r>
        <w:t>Figure 3. Five-Stage Model of Tea Aestheticization. Source: Author’s synthesis; heuristic model developed in Section 9.</w:t>
      </w:r>
    </w:p>
    <w:p>
      <w:pPr>
        <w:widowControl/>
      </w:pPr>
      <w: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r>
        <w:t xml:space="preserve"> Table 1 summarizes the model in operational terms.</w:t>
      </w:r>
    </w:p>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92"/>
            <w:vAlign w:val="center"/>
          </w:tcPr>
          <w:p>
            <w:pPr>
              <w:jc w:val="center"/>
            </w:pPr>
            <w:r/>
            <w:r>
              <w:rPr>
                <w:b/>
                <w:sz w:val="19"/>
              </w:rPr>
              <w:t>Stage</w:t>
            </w:r>
          </w:p>
        </w:tc>
        <w:tc>
          <w:tcPr>
            <w:tcW w:type="dxa" w:w="1656"/>
            <w:vAlign w:val="center"/>
          </w:tcPr>
          <w:p>
            <w:pPr>
              <w:jc w:val="center"/>
            </w:pPr>
            <w:r/>
            <w:r>
              <w:rPr>
                <w:b/>
                <w:sz w:val="19"/>
              </w:rPr>
              <w:t>Operation</w:t>
            </w:r>
          </w:p>
        </w:tc>
        <w:tc>
          <w:tcPr>
            <w:tcW w:type="dxa" w:w="2952"/>
            <w:vAlign w:val="center"/>
          </w:tcPr>
          <w:p>
            <w:pPr>
              <w:jc w:val="center"/>
            </w:pPr>
            <w:r/>
            <w:r>
              <w:rPr>
                <w:b/>
                <w:sz w:val="19"/>
              </w:rPr>
              <w:t>Material / sensory basis</w:t>
            </w:r>
          </w:p>
        </w:tc>
        <w:tc>
          <w:tcPr>
            <w:tcW w:type="dxa" w:w="3960"/>
            <w:vAlign w:val="center"/>
          </w:tcPr>
          <w:p>
            <w:pPr>
              <w:jc w:val="center"/>
            </w:pPr>
            <w:r/>
            <w:r>
              <w:rPr>
                <w:b/>
                <w:sz w:val="19"/>
              </w:rPr>
              <w:t>Cultural effect</w:t>
            </w:r>
          </w:p>
        </w:tc>
      </w:tr>
      <w:tr>
        <w:tc>
          <w:tcPr>
            <w:tcW w:type="dxa" w:w="792"/>
            <w:vAlign w:val="center"/>
          </w:tcPr>
          <w:p>
            <w:pPr>
              <w:jc w:val="center"/>
            </w:pPr>
            <w:r/>
            <w:r>
              <w:rPr>
                <w:b w:val="0"/>
                <w:sz w:val="18"/>
              </w:rPr>
              <w:t>1</w:t>
            </w:r>
          </w:p>
        </w:tc>
        <w:tc>
          <w:tcPr>
            <w:tcW w:type="dxa" w:w="1656"/>
            <w:vAlign w:val="center"/>
          </w:tcPr>
          <w:p>
            <w:pPr>
              <w:jc w:val="center"/>
            </w:pPr>
            <w:r/>
            <w:r>
              <w:rPr>
                <w:b w:val="0"/>
                <w:sz w:val="18"/>
              </w:rPr>
              <w:t>Differentiation</w:t>
            </w:r>
          </w:p>
        </w:tc>
        <w:tc>
          <w:tcPr>
            <w:tcW w:type="dxa" w:w="2952"/>
            <w:vAlign w:val="center"/>
          </w:tcPr>
          <w:p>
            <w:pPr>
              <w:jc w:val="center"/>
            </w:pPr>
            <w:r/>
            <w:r>
              <w:rPr>
                <w:b w:val="0"/>
                <w:sz w:val="18"/>
              </w:rPr>
              <w:t>Flavor, aroma, color, texture, leaf form, provenance</w:t>
            </w:r>
          </w:p>
        </w:tc>
        <w:tc>
          <w:tcPr>
            <w:tcW w:type="dxa" w:w="3960"/>
            <w:vAlign w:val="center"/>
          </w:tcPr>
          <w:p>
            <w:pPr>
              <w:jc w:val="center"/>
            </w:pPr>
            <w:r/>
            <w:r>
              <w:rPr>
                <w:b w:val="0"/>
                <w:sz w:val="18"/>
              </w:rPr>
              <w:t>Differences become perceptible and comparable.</w:t>
            </w:r>
          </w:p>
        </w:tc>
      </w:tr>
      <w:tr>
        <w:tc>
          <w:tcPr>
            <w:tcW w:type="dxa" w:w="792"/>
            <w:vAlign w:val="center"/>
          </w:tcPr>
          <w:p>
            <w:pPr>
              <w:jc w:val="center"/>
            </w:pPr>
            <w:r/>
            <w:r>
              <w:rPr>
                <w:b w:val="0"/>
                <w:sz w:val="18"/>
              </w:rPr>
              <w:t>2</w:t>
            </w:r>
          </w:p>
        </w:tc>
        <w:tc>
          <w:tcPr>
            <w:tcW w:type="dxa" w:w="1656"/>
            <w:vAlign w:val="center"/>
          </w:tcPr>
          <w:p>
            <w:pPr>
              <w:jc w:val="center"/>
            </w:pPr>
            <w:r/>
            <w:r>
              <w:rPr>
                <w:b w:val="0"/>
                <w:sz w:val="18"/>
              </w:rPr>
              <w:t>Mediation</w:t>
            </w:r>
          </w:p>
        </w:tc>
        <w:tc>
          <w:tcPr>
            <w:tcW w:type="dxa" w:w="2952"/>
            <w:vAlign w:val="center"/>
          </w:tcPr>
          <w:p>
            <w:pPr>
              <w:jc w:val="center"/>
            </w:pPr>
            <w:r/>
            <w:r>
              <w:rPr>
                <w:b w:val="0"/>
                <w:sz w:val="18"/>
              </w:rPr>
              <w:t>Water, heat, vessel, timing, gesture, room</w:t>
            </w:r>
          </w:p>
        </w:tc>
        <w:tc>
          <w:tcPr>
            <w:tcW w:type="dxa" w:w="3960"/>
            <w:vAlign w:val="center"/>
          </w:tcPr>
          <w:p>
            <w:pPr>
              <w:jc w:val="center"/>
            </w:pPr>
            <w:r/>
            <w:r>
              <w:rPr>
                <w:b w:val="0"/>
                <w:sz w:val="18"/>
              </w:rPr>
              <w:t>Perception is organized through material infrastructures.</w:t>
            </w:r>
          </w:p>
        </w:tc>
      </w:tr>
      <w:tr>
        <w:tc>
          <w:tcPr>
            <w:tcW w:type="dxa" w:w="792"/>
            <w:vAlign w:val="center"/>
          </w:tcPr>
          <w:p>
            <w:pPr>
              <w:jc w:val="center"/>
            </w:pPr>
            <w:r/>
            <w:r>
              <w:rPr>
                <w:b w:val="0"/>
                <w:sz w:val="18"/>
              </w:rPr>
              <w:t>3</w:t>
            </w:r>
          </w:p>
        </w:tc>
        <w:tc>
          <w:tcPr>
            <w:tcW w:type="dxa" w:w="1656"/>
            <w:vAlign w:val="center"/>
          </w:tcPr>
          <w:p>
            <w:pPr>
              <w:jc w:val="center"/>
            </w:pPr>
            <w:r/>
            <w:r>
              <w:rPr>
                <w:b w:val="0"/>
                <w:sz w:val="18"/>
              </w:rPr>
              <w:t>Stabilization</w:t>
            </w:r>
          </w:p>
        </w:tc>
        <w:tc>
          <w:tcPr>
            <w:tcW w:type="dxa" w:w="2952"/>
            <w:vAlign w:val="center"/>
          </w:tcPr>
          <w:p>
            <w:pPr>
              <w:jc w:val="center"/>
            </w:pPr>
            <w:r/>
            <w:r>
              <w:rPr>
                <w:b w:val="0"/>
                <w:sz w:val="18"/>
              </w:rPr>
              <w:t>Repeated comparison and description</w:t>
            </w:r>
          </w:p>
        </w:tc>
        <w:tc>
          <w:tcPr>
            <w:tcW w:type="dxa" w:w="3960"/>
            <w:vAlign w:val="center"/>
          </w:tcPr>
          <w:p>
            <w:pPr>
              <w:jc w:val="center"/>
            </w:pPr>
            <w:r/>
            <w:r>
              <w:rPr>
                <w:b w:val="0"/>
                <w:sz w:val="18"/>
              </w:rPr>
              <w:t>Preferences become norms, styles, and traditions.</w:t>
            </w:r>
          </w:p>
        </w:tc>
      </w:tr>
      <w:tr>
        <w:tc>
          <w:tcPr>
            <w:tcW w:type="dxa" w:w="792"/>
            <w:vAlign w:val="center"/>
          </w:tcPr>
          <w:p>
            <w:pPr>
              <w:jc w:val="center"/>
            </w:pPr>
            <w:r/>
            <w:r>
              <w:rPr>
                <w:b w:val="0"/>
                <w:sz w:val="18"/>
              </w:rPr>
              <w:t>4</w:t>
            </w:r>
          </w:p>
        </w:tc>
        <w:tc>
          <w:tcPr>
            <w:tcW w:type="dxa" w:w="1656"/>
            <w:vAlign w:val="center"/>
          </w:tcPr>
          <w:p>
            <w:pPr>
              <w:jc w:val="center"/>
            </w:pPr>
            <w:r/>
            <w:r>
              <w:rPr>
                <w:b w:val="0"/>
                <w:sz w:val="18"/>
              </w:rPr>
              <w:t>Socialization</w:t>
            </w:r>
          </w:p>
        </w:tc>
        <w:tc>
          <w:tcPr>
            <w:tcW w:type="dxa" w:w="2952"/>
            <w:vAlign w:val="center"/>
          </w:tcPr>
          <w:p>
            <w:pPr>
              <w:jc w:val="center"/>
            </w:pPr>
            <w:r/>
            <w:r>
              <w:rPr>
                <w:b w:val="0"/>
                <w:sz w:val="18"/>
              </w:rPr>
              <w:t>Ritual, connoisseurship, education, markets</w:t>
            </w:r>
          </w:p>
        </w:tc>
        <w:tc>
          <w:tcPr>
            <w:tcW w:type="dxa" w:w="3960"/>
            <w:vAlign w:val="center"/>
          </w:tcPr>
          <w:p>
            <w:pPr>
              <w:jc w:val="center"/>
            </w:pPr>
            <w:r/>
            <w:r>
              <w:rPr>
                <w:b w:val="0"/>
                <w:sz w:val="18"/>
              </w:rPr>
              <w:t>Taste becomes competence, belonging, status, or identity.</w:t>
            </w:r>
          </w:p>
        </w:tc>
      </w:tr>
      <w:tr>
        <w:tc>
          <w:tcPr>
            <w:tcW w:type="dxa" w:w="792"/>
            <w:vAlign w:val="center"/>
          </w:tcPr>
          <w:p>
            <w:pPr>
              <w:jc w:val="center"/>
            </w:pPr>
            <w:r/>
            <w:r>
              <w:rPr>
                <w:b w:val="0"/>
                <w:sz w:val="18"/>
              </w:rPr>
              <w:t>5</w:t>
            </w:r>
          </w:p>
        </w:tc>
        <w:tc>
          <w:tcPr>
            <w:tcW w:type="dxa" w:w="1656"/>
            <w:vAlign w:val="center"/>
          </w:tcPr>
          <w:p>
            <w:pPr>
              <w:jc w:val="center"/>
            </w:pPr>
            <w:r/>
            <w:r>
              <w:rPr>
                <w:b w:val="0"/>
                <w:sz w:val="18"/>
              </w:rPr>
              <w:t>Recontextualization</w:t>
            </w:r>
          </w:p>
        </w:tc>
        <w:tc>
          <w:tcPr>
            <w:tcW w:type="dxa" w:w="2952"/>
            <w:vAlign w:val="center"/>
          </w:tcPr>
          <w:p>
            <w:pPr>
              <w:jc w:val="center"/>
            </w:pPr>
            <w:r/>
            <w:r>
              <w:rPr>
                <w:b w:val="0"/>
                <w:sz w:val="18"/>
              </w:rPr>
              <w:t>New media, markets, heritage narratives, lifestyle forms</w:t>
            </w:r>
          </w:p>
        </w:tc>
        <w:tc>
          <w:tcPr>
            <w:tcW w:type="dxa" w:w="3960"/>
            <w:vAlign w:val="center"/>
          </w:tcPr>
          <w:p>
            <w:pPr>
              <w:jc w:val="center"/>
            </w:pPr>
            <w:r/>
            <w:r>
              <w:rPr>
                <w:b w:val="0"/>
                <w:sz w:val="18"/>
              </w:rPr>
              <w:t>Existing tea practices acquire new meanings and uses.</w:t>
            </w:r>
          </w:p>
        </w:tc>
      </w:tr>
    </w:tbl>
    <w:p>
      <w:pPr>
        <w:pStyle w:val="Caption"/>
        <w:jc w:val="center"/>
      </w:pPr>
      <w:r>
        <w:t>Table 1. Five-Stage Model of Tea Aestheticization. Source: Author’s synthesis.</w:t>
      </w:r>
    </w:p>
    <w:p>
      <w:pPr>
        <w:widowControl/>
      </w:pPr>
      <w:r>
        <w:t>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widowControl/>
      </w:pPr>
      <w:r>
        <w:t>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widowControl/>
      </w:pPr>
      <w:r>
        <w:t>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widowControl/>
      </w:pPr>
      <w:r>
        <w:t>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keepNext/>
        <w:widowControl/>
      </w:pPr>
      <w:r>
        <w:t>10. Conclusion</w:t>
      </w:r>
    </w:p>
    <w:p>
      <w:pPr>
        <w:widowControl/>
      </w:pPr>
      <w:r>
        <w:t xml:space="preserve">This chapter has argued that the cultural history of tea is best understood not as the progressive accumulation of symbolic meanings around a stable botanical object, but as an ongoing process of material and sensory mediation. </w:t>
      </w:r>
      <w:r>
        <w:rPr>
          <w:i/>
        </w:rPr>
        <w:t>Camellia sinensis</w:t>
      </w:r>
      <w:r>
        <w:t xml:space="preserve">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widowControl/>
      </w:pPr>
      <w:r>
        <w:t>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widowControl/>
      </w:pPr>
      <w:r>
        <w:t>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widowControl/>
      </w:pPr>
      <w:r>
        <w:t>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widowControl/>
      </w:pPr>
      <w:r>
        <w:t>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widowControl/>
      </w:pPr>
      <w: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w:t>
      </w:r>
      <w:r>
        <w:rPr>
          <w:i/>
        </w:rPr>
        <w:t>Camellia sinensis</w:t>
      </w:r>
      <w:r>
        <w:t xml:space="preserve"> is therefore also a history of how humans learn to perceive matter—and how matter, through its affordances and resistances, helps shape the cultural forms through which humans perceive themselves.</w:t>
      </w:r>
    </w:p>
    <w:p>
      <w:pPr>
        <w:pStyle w:val="Heading1"/>
        <w:keepNext/>
        <w:widowControl/>
      </w:pPr>
      <w:r>
        <w:t>Acknowledgments</w:t>
      </w:r>
    </w:p>
    <w:p>
      <w:pPr>
        <w:widowControl/>
      </w:pPr>
      <w:r>
        <w:t>The author thanks the Council on East Asian Studies at Yale University for making publicly available information about the lecture and archival materials that informed the discussion of Rai San’yō and sencha.</w:t>
      </w:r>
    </w:p>
    <w:p>
      <w:pPr>
        <w:pStyle w:val="Heading1"/>
        <w:keepNext/>
        <w:widowControl/>
      </w:pPr>
      <w:r>
        <w:t>Conflict of Interest</w:t>
      </w:r>
    </w:p>
    <w:p>
      <w:pPr>
        <w:widowControl/>
      </w:pPr>
      <w:r>
        <w:t>The author declares no conflict of interest.</w:t>
      </w:r>
    </w:p>
    <w:p>
      <w:pPr>
        <w:pStyle w:val="Heading1"/>
        <w:keepNext/>
        <w:widowControl/>
      </w:pPr>
      <w:r>
        <w:t>References</w:t>
      </w:r>
    </w:p>
    <w:p>
      <w:pPr>
        <w:widowControl/>
        <w:spacing w:after="80"/>
        <w:ind w:hanging="360" w:left="360"/>
      </w:pPr>
      <w:r>
        <w:t>[1] Appadurai A, editor. The Social Life of Things: Commodities in Cultural Perspective. Cambridge: Cambridge University Press; 1986. DOI: 10.1017/CBO9780511819582.</w:t>
      </w:r>
    </w:p>
    <w:p>
      <w:pPr>
        <w:widowControl/>
        <w:spacing w:after="80"/>
        <w:ind w:hanging="360" w:left="360"/>
      </w:pPr>
      <w:r>
        <w:t>[2] Kopytoff I. The cultural biography of things: commoditization as process. In: Appadurai A, editor. The Social Life of Things: Commodities in Cultural Perspective. Cambridge: Cambridge University Press; 1986. p. 64–92. DOI: 10.1017/CBO9780511819582.004.</w:t>
      </w:r>
    </w:p>
    <w:p>
      <w:pPr>
        <w:widowControl/>
        <w:spacing w:after="80"/>
        <w:ind w:hanging="360" w:left="360"/>
      </w:pPr>
      <w:r>
        <w:t>[3] Ingold T. Materials against materiality. Archaeological Dialogues. 2007;14(1):1–16. DOI: 10.1017/S1380203807002127.</w:t>
      </w:r>
    </w:p>
    <w:p>
      <w:pPr>
        <w:widowControl/>
        <w:spacing w:after="80"/>
        <w:ind w:hanging="360" w:left="360"/>
      </w:pPr>
      <w:r>
        <w:t>[4] Ingold T. Making: Anthropology, Archaeology, Art and Architecture. London: Routledge; 2013.</w:t>
      </w:r>
    </w:p>
    <w:p>
      <w:pPr>
        <w:widowControl/>
        <w:spacing w:after="80"/>
        <w:ind w:hanging="360" w:left="360"/>
      </w:pPr>
      <w:r>
        <w:t>[5] Benn JA. Tea in China: A Religious and Cultural History. Honolulu: University of Hawai’i Press; 2015. DOI: 10.21313/hawaii/9780824839635.001.0001.</w:t>
      </w:r>
    </w:p>
    <w:p>
      <w:pPr>
        <w:widowControl/>
        <w:spacing w:after="80"/>
        <w:ind w:hanging="360" w:left="360"/>
      </w:pPr>
      <w:r>
        <w:t>[6] Benn JA. Tea poetry in Tang China. In: Tea in China: A Religious and Cultural History. Honolulu: University of Hawai’i Press; 2015. p. 72–95. DOI: 10.21313/hawaii/9780824839635.003.0004.</w:t>
      </w:r>
    </w:p>
    <w:p>
      <w:pPr>
        <w:widowControl/>
        <w:spacing w:after="80"/>
        <w:ind w:hanging="360" w:left="360"/>
      </w:pPr>
      <w:r>
        <w:t>[7] Mair VH, Hoh E. The True History of Tea. London; New York: Thames &amp; Hudson; 2009.</w:t>
      </w:r>
    </w:p>
    <w:p>
      <w:pPr>
        <w:widowControl/>
        <w:spacing w:after="80"/>
        <w:ind w:hanging="360" w:left="360"/>
      </w:pPr>
      <w:r>
        <w:t>[8] Varley HP, Kumakura I, editors. Tea in Japan: Essays on the History of Chanoyu. Honolulu: University of Hawai’i Press; 1989. DOI: 10.1515/9780824844394.</w:t>
      </w:r>
    </w:p>
    <w:p>
      <w:pPr>
        <w:widowControl/>
        <w:spacing w:after="80"/>
        <w:ind w:hanging="360" w:left="360"/>
      </w:pPr>
      <w:r>
        <w:t>[9] Pitelka M, editor. Japanese Tea Culture: Art, History and Practice. London: Routledge; 2013.</w:t>
      </w:r>
    </w:p>
    <w:p>
      <w:pPr>
        <w:widowControl/>
        <w:spacing w:after="80"/>
        <w:ind w:hanging="360" w:left="360"/>
      </w:pPr>
      <w:r>
        <w:t>[10] Kumakura I. Japanese Tea Culture: The Heart and Form of Chanoyu. Translated by Martha J. McClintock. Tokyo: Japan Publishing Industry Foundation for Culture; 2023. DOI: 10.2307/jj.2840648.</w:t>
      </w:r>
    </w:p>
    <w:p>
      <w:pPr>
        <w:widowControl/>
        <w:spacing w:after="80"/>
        <w:ind w:hanging="360" w:left="360"/>
      </w:pPr>
      <w:r>
        <w:t>[11] Carriger ML. Tea cultures of Japan. In: Goldstein D, editor-in-chief. Oxford Research Encyclopedia of Food Studies. Oxford: Oxford University Press; 2026. DOI: 10.1093/9780197852538.003.0250.</w:t>
      </w:r>
    </w:p>
    <w:p>
      <w:pPr>
        <w:widowControl/>
        <w:spacing w:after="80"/>
        <w:ind w:hanging="360" w:left="360"/>
      </w:pPr>
      <w:r>
        <w:t>[12] Shimamura Y. 頼山陽と煎茶: 近世後期の文人の趣味とその精神性に関する試論 [Rai Sanyō to sencha: Kinsei kōki no bunjin no shumi to sono seishinsei ni kansuru shiron]. Tokyo: Kasama Shoin; 2022. ISBN 9784305709585.</w:t>
      </w:r>
    </w:p>
    <w:p>
      <w:pPr>
        <w:widowControl/>
        <w:spacing w:after="80"/>
        <w:ind w:hanging="360" w:left="360"/>
      </w:pPr>
      <w:r>
        <w:t>[13] Bourdieu P. Distinction: A Social Critique of the Judgement of Taste. Translated by Richard Nice. Cambridge, MA: Harvard University Press; 1984.</w:t>
      </w:r>
    </w:p>
    <w:p>
      <w:pPr>
        <w:widowControl/>
        <w:spacing w:after="80"/>
        <w:ind w:hanging="360" w:left="360"/>
      </w:pPr>
      <w:r>
        <w:t>[14] Hellyer R. Green with Milk and Sugar: When Japan Filled America’s Tea Cups. New York: Columbia University Press; 2021. DOI: 10.7312/hell19910.</w:t>
      </w:r>
    </w:p>
    <w:p>
      <w:pPr>
        <w:widowControl/>
        <w:spacing w:after="80"/>
        <w:ind w:hanging="360" w:left="360"/>
      </w:pPr>
      <w:r>
        <w:t>[15] Oshikiri T. The Shogun’s tea jar: ritual, material culture, and political authority in early modern Japan. The Historical Journal. 2016;59(4):927–945. DOI: 10.1017/S0018246X1600008X.</w:t>
      </w:r>
    </w:p>
    <w:p>
      <w:pPr>
        <w:widowControl/>
        <w:spacing w:after="80"/>
        <w:ind w:hanging="360" w:left="360"/>
      </w:pPr>
      <w:r>
        <w:t>[16] Sen Sōshitsu XV. The Japanese Way of Tea: From Its Origins in China to Sen Rikyu. Translated by V. Dixon Morris. Honolulu: University of Hawai’i Press; 1998. DOI: 10.1515/9780824864804.</w:t>
      </w:r>
    </w:p>
    <w:p>
      <w:pPr>
        <w:widowControl/>
        <w:spacing w:after="80"/>
        <w:ind w:hanging="360" w:left="360"/>
      </w:pPr>
      <w:r>
        <w:t>[17] Lee HC, Kwon SH. The invention and promotion of cha-rye in Korea. Asian Journal of Social Science. 2022;50(3):171–177. DOI: 10.1016/j.ajss.2022.06.004.</w:t>
      </w:r>
    </w:p>
    <w:p>
      <w:pPr>
        <w:widowControl/>
        <w:spacing w:after="80"/>
        <w:ind w:hanging="360" w:left="360"/>
      </w:pPr>
      <w:r>
        <w:t>[18] de Certeau M. The Practice of Everyday Life. Volume 1. Translated by Steven Rendall. Berkeley: University of California Press; 1984.</w:t>
      </w:r>
    </w:p>
    <w:p>
      <w:pPr>
        <w:widowControl/>
        <w:spacing w:after="80"/>
        <w:ind w:hanging="360" w:left="360"/>
      </w:pPr>
      <w:r>
        <w:t>[19] Zhu VJ. The Visual Ethnographer’s Data Other: Secrets Unveiled for a Sociological J. M. Coetzee. Eliva Press; 2026.</w:t>
      </w:r>
    </w:p>
    <w:p>
      <w:pPr>
        <w:widowControl/>
        <w:spacing w:after="80"/>
        <w:ind w:hanging="360" w:left="360"/>
      </w:pPr>
      <w:r>
        <w:t>[20] Zhu VJ. Sino-Japanese Literature in Perspective: A Short Communication to the World Literature. Edited by Irina Lungu. Chișinău: Eliva Press; 2026.</w:t>
      </w:r>
    </w:p>
    <w:p>
      <w:pPr>
        <w:ind w:left="360" w:hanging="360"/>
      </w:pPr>
      <w:r>
        <w:t>[21] Brown TG. 風水之理：從法律、環境到近代化，清帝國的地方治理與社會秩序 [Laws of the Land: Fengshui and the State in Qing Dynasty China]. Translated by Chen MQ. Taipei: 畢方文化; 2026. ISBN 9786267816059.</w:t>
      </w:r>
    </w:p>
    <w:p>
      <w:pPr>
        <w:widowControl/>
        <w:spacing w:after="80"/>
        <w:ind w:hanging="360" w:left="360"/>
      </w:pPr>
      <w:r>
        <w:t>[22] Yale Council on East Asian Studies. Steeped in Art and Nature: On Rai San’yō’s “Sanshi Suimeisho”. Yale University; 2026.</w:t>
      </w:r>
    </w:p>
    <w:sectPr>
      <w:footerReference w:type="default" r:id="rId9"/>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3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Line">
    <w:name w:val="AuthorLine"/>
    <w:pPr>
      <w:spacing w:after="100"/>
      <w:jc w:val="center"/>
    </w:pPr>
    <w:rPr>
      <w:rFonts w:ascii="Times New Roman" w:hAnsi="Times New Roman"/>
      <w:b w:val="0"/>
      <w:i w:val="0"/>
      <w:sz w:val="22"/>
    </w:rPr>
  </w:style>
  <w:style w:type="paragraph" w:customStyle="1" w:styleId="AffiliationLine">
    <w:name w:val="AffiliationLine"/>
    <w:pPr>
      <w:spacing w:after="100"/>
      <w:jc w:val="center"/>
    </w:pPr>
    <w:rPr>
      <w:rFonts w:ascii="Times New Roman" w:hAnsi="Times New Roman"/>
      <w:b w:val="0"/>
      <w:i/>
      <w:sz w:val="21"/>
    </w:rPr>
  </w:style>
  <w:style w:type="paragraph" w:customStyle="1" w:styleId="Label">
    <w:name w:val="Label"/>
    <w:pPr>
      <w:spacing w:after="10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Aestheticizing the Leaf: Literary, Visual, and Cultural Consumption of Tea in East Asia</dc:title>
  <dc:subject>Full Chapter Submission - Tea - From Plant to Beverage</dc:subject>
  <dc:creator/>
  <cp:keywords>Tea Culture; Camellia sinensis; East Asian Literature; Visual Arts; Material Culture; Cultural Consumption; Aestheticization</cp:keywords>
  <dc:description>generated by python-docx</dc:description>
  <cp:lastModifiedBy/>
  <cp:revision>1</cp:revision>
  <dcterms:created xsi:type="dcterms:W3CDTF">2013-12-23T23:15:00Z</dcterms:created>
  <dcterms:modified xsi:type="dcterms:W3CDTF">2013-12-23T23:15:00Z</dcterms:modified>
  <cp:category/>
</cp:coreProperties>
</file>