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IntechOpenTitle"/>
        <w:spacing w:after="100"/>
        <w:jc w:val="center"/>
      </w:pPr>
      <w:r>
        <w:t>Aestheticizing the Leaf: Materiality, Sensory Experience, and Cultural Mediation of Tea in China, Japan, and Korea</w:t>
      </w:r>
    </w:p>
    <w:p>
      <w:pPr>
        <w:pStyle w:val="IntechOpenAuthor"/>
        <w:spacing w:after="400"/>
        <w:jc w:val="center"/>
      </w:pPr>
      <w:r>
        <w:t>Vivien Jiaqian Zhu</w:t>
      </w:r>
    </w:p>
    <w:p>
      <w:pPr>
        <w:pStyle w:val="IntechOpenAuthor"/>
        <w:jc w:val="center"/>
      </w:pPr>
      <w:r>
        <w:t>Stanford University, Stanford, CA, USA</w:t>
      </w:r>
    </w:p>
    <w:p>
      <w:pPr>
        <w:pStyle w:val="Heading2"/>
        <w:spacing w:after="160" w:before="240"/>
      </w:pPr>
      <w:r>
        <w:rPr>
          <w:rFonts w:ascii="TeX Gyre Pagella" w:hAnsi="TeX Gyre Pagella"/>
          <w:b/>
          <w:bCs/>
          <w:i/>
          <w:iCs/>
          <w:sz w:val="20"/>
        </w:rPr>
        <w:t xml:space="preserve">Abstract</w:t>
      </w:r>
    </w:p>
    <w:p>
      <w:pPr>
        <w:pStyle w:val="Normal"/>
        <w:spacing w:after="80"/>
        <w:ind w:firstLine="0"/>
      </w:pPr>
      <w:r>
        <w:t>This chapter examines how tea (Camellia sinensis) becomes culturally and aesthetically legible through material transformation, sensory practice, and cultural mediation in China, Japan, and Korea. The primary focus is on early modern and modern formations, roughly from the sixteenth to the twenty-first century, while selected Tang-dynasty materials are used as a genealogy for tea literature and knowledge. Rather than treating tea as a passive commodity, the chapter approaches the leaf as a material participant whose flavor, aroma, processing, brewing conditions, and associated utensils enable and constrain practices of attention. Drawing on scholarship on material culture, literary history, tea practice, and visual culture, it follows tea from cultivation and processing to literary representation, literati sociability, ritual, regional circulation, and contemporary branding. The concept of material affordance describes the practical possibilities and constraints that arise from relations among leaf, water, vessel, technique, body, and environment. The chapter argues that aestheticization is not simply the symbolic elevation of tea; it is a process through which material differences become perceptible, comparable, socially valued, and repeatedly recontextualized.</w:t>
      </w:r>
    </w:p>
    <w:p>
      <w:pPr>
        <w:spacing w:after="80"/>
        <w:ind w:firstLine="0"/>
      </w:pPr>
      <w:r>
        <w:t>Keywords: Camellia sinensis, Tea Culture, Materiality, Sensory Experience, Aestheticization, Cultural Mediation, China, Japan, Korea, Visual Culture, Material Culture</w:t>
      </w:r>
    </w:p>
    <w:p>
      <w:pPr>
        <w:pStyle w:val="Heading1"/>
        <w:spacing w:after="200" w:before="300"/>
      </w:pPr>
      <w:r>
        <w:rPr>
          <w:rFonts w:ascii="TeX Gyre Pagella" w:hAnsi="TeX Gyre Pagella"/>
          <w:b/>
          <w:bCs/>
          <w:sz w:val="20"/>
        </w:rPr>
        <w:t xml:space="preserve">1. Introduction</w:t>
      </w:r>
    </w:p>
    <w:p>
      <w:pPr>
        <w:pStyle w:val="Normal"/>
        <w:spacing w:after="200"/>
      </w:pPr>
      <w:r>
        <w:t>In his later years, the literatus Rai San’yō (1780-1832) built a small pavilion within his Kyoto residence and named it Sanshi Suimeisho, the Abode of Purple Mountains and Clear Water. There he gathered with friends and family for poetry, painting, sake, and sencha, steeped green tea prepared and savored as part of cultivated aesthetic life. The atmosphere survives in the kanshi (Sinitic poems) of his uncle, Rai Kyōhei, preserved in the manuscript album Jūjun kagetsu (One Hundred Days of Blossoms and the Moon). At this site, tea was not merely consumed. Its aroma, flavor, preparation, utensils, and handling organized an occasion for writing, reflection, and the performance of learned taste [1].</w:t>
      </w:r>
    </w:p>
    <w:p>
      <w:pPr>
        <w:pStyle w:val="Normal"/>
        <w:spacing w:after="200"/>
      </w:pPr>
      <w:r>
        <w:t>This scene introduces the chapter’s central claim. Focusing on China, Japan, and Korea, the chapter treats tea not as a passive commodity that simply receives cultural meanings, but as a material participant in their production. Leaf, water, heat, vessel, gesture, and body jointly shape what can be perceived and how those perceptions become culturally valued. Aestheticization, in this account, is therefore not the symbolic decoration of an otherwise neutral commodity. It is the process through which material differences become perceptible, describable, comparable, and socially consequential.</w:t>
      </w:r>
    </w:p>
    <w:p>
      <w:pPr>
        <w:pStyle w:val="Normal"/>
        <w:spacing w:after="200"/>
      </w:pPr>
      <w:r>
        <w:t>Here, “East Asia” refers specifically to China, Japan, and Korea, approached as a connected but internally differentiated field. Chronologically, the analysis centers on early modern and modern formations, roughly from the sixteenth to the twenty-first century, while selected Tang-dynasty materials are used as a genealogy for later tea literature and knowledge. The chapter does not attempt a comprehensive history of every period or region; instead, it places a small number of literary, visual, ritual, and material cases in dialogue to show recurring relations among plant, technique, object, body, text, and identity.</w:t>
      </w:r>
    </w:p>
    <w:p>
      <w:pPr>
        <w:pStyle w:val="Normal"/>
        <w:spacing w:after="200"/>
      </w:pPr>
      <w:r>
        <w:t>The theoretical framework combines material-culture and practice-based approaches. Appadurai’s account of the social life of things explains how objects acquire changing regimes of value through circulation, exchange, display, and use [2], while Kopytoff’s concept of the cultural biography of things emphasizes the historical and cultural organization of commoditization [3]. Ingold’s work shifts attention from inert objects toward materials whose properties emerge through relations among substances, environments, tools, and practitioners [4,5]. In this chapter, “material affordance” refers to the practical possibilities and constraints that arise from those relations: what a leaf can yield under particular conditions, what a vessel makes perceptible, what a technique makes repeatable, and what kinds of bodily attention a preparation requires.</w:t>
      </w:r>
    </w:p>
    <w:p>
      <w:pPr>
        <w:pStyle w:val="Normal"/>
        <w:spacing w:after="200"/>
      </w:pPr>
      <w:r>
        <w:t>The chapter proceeds from material transformation to cultural mediation and social valuation. Section 2 establishes tea as a dynamic material and situates its changing regimes of value. Section 3 examines processing and brewing as forms of sensory mediation. Sections 4-6 trace how literary and visual forms, sencha sociability, utensils, and ritual organize attention and taste. Section 7 places China, Japan, and Korea in a comparative history of circulation and reclassification, while Section 8 considers contemporary authenticity and recontextualization. Section 9 synthesizes these cases in a five-stage model of aestheticization, before the conclusion returns to the broader relation among matter, perception, and cultural form.</w:t>
      </w:r>
    </w:p>
    <w:p>
      <w:pPr>
        <w:pStyle w:val="Heading1"/>
        <w:spacing w:after="200" w:before="300"/>
      </w:pPr>
      <w:r>
        <w:rPr>
          <w:rFonts w:ascii="TeX Gyre Pagella" w:hAnsi="TeX Gyre Pagella"/>
          <w:b/>
          <w:bCs/>
          <w:sz w:val="20"/>
        </w:rPr>
        <w:t xml:space="preserve">2. Botanical Materiality and the Cultural Life of Tea</w:t>
      </w:r>
    </w:p>
    <w:p>
      <w:pPr>
        <w:pStyle w:val="Normal"/>
        <w:spacing w:after="200"/>
      </w:pPr>
      <w:r>
        <w:rPr>
          <w:rFonts w:ascii="TeX Gyre Pagella" w:hAnsi="TeX Gyre Pagella"/>
          <w:sz w:val="20"/>
        </w:rPr>
        <w:t xml:space="preserve">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spacing w:after="160" w:before="240"/>
      </w:pPr>
      <w:r>
        <w:rPr>
          <w:rFonts w:ascii="TeX Gyre Pagella" w:hAnsi="TeX Gyre Pagella"/>
          <w:b/>
          <w:bCs/>
          <w:i/>
          <w:iCs/>
          <w:sz w:val="20"/>
        </w:rPr>
        <w:t xml:space="preserve">2.1 Materials, Value, and Cultural Biography</w:t>
      </w:r>
    </w:p>
    <w:p>
      <w:pPr>
        <w:pStyle w:val="Normal"/>
        <w:spacing w:after="200"/>
      </w:pPr>
      <w:r>
        <w:t>Appadurai’s formulation of the “social life” of things calls attention to the ways objects acquire changing regimes of value as they circulate among different contexts of exchange, display, use, and possession [2]. Kopytoff’s related notion of the cultural biography of things emphasizes that commoditization itself is a cultural process: things become commodities through acts of classification and valuation, and they may move into and out of commodity status [3].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pStyle w:val="Normal"/>
        <w:spacing w:after="200"/>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[4]. His later work on making further stresses correspondence between active materials and sentient practitioners [5].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pStyle w:val="Normal"/>
        <w:spacing w:after="200"/>
      </w:pPr>
      <w:r>
        <w:rPr>
          <w:rFonts w:ascii="TeX Gyre Pagella" w:hAnsi="TeX Gyre Pagella"/>
          <w:sz w:val="20"/>
        </w:rPr>
        <w:t xml:space="preserve">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pStyle w:val="Normal"/>
        <w:spacing w:after="200"/>
      </w:pPr>
      <w:r>
        <w:rPr>
          <w:rFonts w:ascii="TeX Gyre Pagella" w:hAnsi="TeX Gyre Pagella"/>
          <w:sz w:val="20"/>
        </w:rPr>
        <w:t xml:space="preserve">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pStyle w:val="Normal"/>
        <w:spacing w:after="200"/>
      </w:pPr>
      <w:r>
        <w:t>Traditional Chinese tea history offers a particularly clear example. James A. Benn describes tea in premodern China as both a religious and cultural commodity, emphasizing how tea moved among medicinal, monastic, literary, and commercial worlds [6]. His account of Tang tea poetry further demonstrates that poets did not merely borrow tea as a ready-made symbol: they helped construct a vocabulary of qualities—naturalness, refreshment, stimulation, longevity, spiritual clarity—through which tea could be valued and discussed [7].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pStyle w:val="Normal"/>
        <w:spacing w:after="200"/>
      </w:pPr>
      <w:r>
        <w:rPr>
          <w:rFonts w:ascii="TeX Gyre Pagella" w:hAnsi="TeX Gyre Pagella"/>
          <w:sz w:val="20"/>
        </w:rPr>
        <w:t xml:space="preserve">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pStyle w:val="Normal"/>
        <w:spacing w:after="200"/>
      </w:pPr>
      <w:r>
        <w:t>From this perspective, the history of tea is a sequence of material reorganizations: processing changes taste and aroma; brewing conditions change perception; utensils foreground particular qualities; literary and visual forms teach observers what to notice; and commercial systems attach social or geographic value to material differences. Tea becomes aesthetic not when material specificity disappears, but when differences in matter are learned, described, compared, and displayed.</w:t>
      </w:r>
    </w:p>
    <w:p>
      <w:pPr>
        <w:pStyle w:val="Heading1"/>
        <w:spacing w:after="200" w:before="300"/>
      </w:pPr>
      <w:r>
        <w:t>3. Processing, Sensory Experience, and Knowledge</w:t>
      </w:r>
    </w:p>
    <w:p>
      <w:pPr>
        <w:pStyle w:val="Heading2"/>
        <w:spacing w:after="160" w:before="240"/>
      </w:pPr>
      <w:r>
        <w:rPr>
          <w:rFonts w:ascii="TeX Gyre Pagella" w:hAnsi="TeX Gyre Pagella"/>
          <w:b/>
          <w:bCs/>
          <w:i/>
          <w:iCs/>
          <w:sz w:val="20"/>
        </w:rPr>
        <w:t xml:space="preserve">3.1 Processing as Mediation</w:t>
      </w:r>
    </w:p>
    <w:p>
      <w:pPr>
        <w:pStyle w:val="Normal"/>
        <w:spacing w:after="200"/>
      </w:pPr>
      <w:r>
        <w:rPr>
          <w:rFonts w:ascii="TeX Gyre Pagella" w:hAnsi="TeX Gyre Pagella"/>
          <w:sz w:val="20"/>
        </w:rPr>
        <w:t xml:space="preserve">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pStyle w:val="Normal"/>
        <w:spacing w:after="200"/>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[6,8]. The point is not that processing simply “improves” the plant. Rather, different procedures produce different sensory objects from the same species. A distinction between teas is therefore simultaneously a distinction between material histories.</w:t>
      </w:r>
    </w:p>
    <w:p>
      <w:pPr>
        <w:pStyle w:val="Normal"/>
        <w:spacing w:after="200"/>
      </w:pPr>
      <w:r>
        <w:rPr>
          <w:rFonts w:ascii="TeX Gyre Pagella" w:hAnsi="TeX Gyre Pagella"/>
          <w:sz w:val="20"/>
        </w:rPr>
        <w:t xml:space="preserve">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pStyle w:val="Normal"/>
        <w:spacing w:after="200"/>
      </w:pPr>
      <w:r>
        <w:rPr>
          <w:rFonts w:ascii="TeX Gyre Pagella" w:hAnsi="TeX Gyre Pagella"/>
          <w:sz w:val="20"/>
        </w:rPr>
        <w:t xml:space="preserve">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pStyle w:val="Normal"/>
        <w:spacing w:after="200"/>
      </w:pPr>
      <w:r>
        <w:t>This is especially visible in the long Chinese tradition of tea literature. Benn notes that Tang poets described tea’s color, aroma, taste, methods of preparation, shapes of teaware, settings of consumption, and aesthetic or medicinal effects [7].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pStyle w:val="Normal"/>
        <w:spacing w:after="200"/>
      </w:pPr>
      <w:r>
        <w:t>The relationship between botanical matter and literary mediation can also be framed through Ingold’s emphasis on materials as processual [4].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pStyle w:val="Normal"/>
        <w:spacing w:after="200"/>
      </w:pPr>
      <w:r>
        <w:rPr>
          <w:rFonts w:ascii="TeX Gyre Pagella" w:hAnsi="TeX Gyre Pagella"/>
          <w:sz w:val="20"/>
        </w:rPr>
        <w:t xml:space="preserve">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pStyle w:val="Normal"/>
        <w:spacing w:after="200"/>
      </w:pPr>
      <w:r>
        <w:t>Authenticity reveals the same interplay between material form and cultural valuation. Claims that a tea is “traditional” often depend on cultivar, locality, preparation method, utensil, or ritual, but these forms are historically mutable. Processing changes, markets shift, and traditions are periodically reformulated. Authenticity is therefore better treated as a valuation practice that links present material details to selected histories rather than as a fixed property [3]. The same tea can move among medicinal, domestic, aesthetic, luxury, and heritage categories without following a single linear sequence.</w:t>
      </w:r>
    </w:p>
    <w:p>
      <w:pPr>
        <w:pStyle w:val="Heading1"/>
        <w:spacing w:after="200" w:before="300"/>
      </w:pPr>
      <w:r>
        <w:t>4. Literary and Visual Mediation</w:t>
      </w:r>
    </w:p>
    <w:p>
      <w:pPr>
        <w:pStyle w:val="Heading2"/>
        <w:spacing w:after="160" w:before="240"/>
      </w:pPr>
      <w:r>
        <w:rPr>
          <w:rFonts w:ascii="TeX Gyre Pagella" w:hAnsi="TeX Gyre Pagella"/>
          <w:b/>
          <w:bCs/>
          <w:i/>
          <w:iCs/>
          <w:sz w:val="20"/>
        </w:rPr>
        <w:t xml:space="preserve">4.1 Literature as Sensory Mediation</w:t>
      </w:r>
    </w:p>
    <w:p>
      <w:pPr>
        <w:pStyle w:val="Normal"/>
        <w:spacing w:after="200"/>
      </w:pPr>
      <w:r>
        <w:rPr>
          <w:rFonts w:ascii="TeX Gyre Pagella" w:hAnsi="TeX Gyre Pagella"/>
          <w:sz w:val="20"/>
        </w:rPr>
        <w:t xml:space="preserve">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pStyle w:val="Normal"/>
        <w:spacing w:after="200"/>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[7].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pStyle w:val="Normal"/>
        <w:spacing w:after="200"/>
      </w:pPr>
      <w:r>
        <w:rPr>
          <w:rFonts w:ascii="TeX Gyre Pagella" w:hAnsi="TeX Gyre Pagella"/>
          <w:sz w:val="20"/>
        </w:rPr>
        <w:t xml:space="preserve">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pStyle w:val="Normal"/>
        <w:spacing w:after="200"/>
      </w:pPr>
      <w:r>
        <w:rPr>
          <w:rFonts w:ascii="TeX Gyre Pagella" w:hAnsi="TeX Gyre Pagella"/>
          <w:sz w:val="20"/>
        </w:rPr>
        <w:t xml:space="preserve">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pStyle w:val="Normal"/>
        <w:spacing w:after="200"/>
      </w:pPr>
      <w:r>
        <w:t>The same principle appears clearly in the history of Japanese tea. Varley and Kumakura’s Tea in Japan stresses that chanoyu developed through an interaction of architecture, gardens, ceramics, lacquerware, painting, calligraphy, interior design, and ritual [9]. Pitelka’s Japanese Tea Culture: Art, History and Practice further argues against viewing Japanese tea culture as a timeless, purely aesthetic practice, showing instead how tea has been entangled with commerce, politics, historical writing, artistic production, and ideas of Japaneseness [10]. In both cases, material and symbolic orders cannot be separated cleanly.</w:t>
      </w:r>
    </w:p>
    <w:p>
      <w:pPr>
        <w:pStyle w:val="Normal"/>
        <w:spacing w:after="200"/>
      </w:pPr>
      <w:r>
        <w:t>Kumakura’s more recent account makes the same point through practice. His Japanese Tea Culture: The Heart and Form of Chanoyu examines not only ritual but the tea room, tea utensils, bodily movements, and historical formation of the practice [11].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pStyle w:val="Normal"/>
        <w:spacing w:after="200"/>
      </w:pPr>
      <w:r>
        <w:rPr>
          <w:rFonts w:ascii="TeX Gyre Pagella" w:hAnsi="TeX Gyre Pagella"/>
          <w:sz w:val="20"/>
        </w:rPr>
        <w:t xml:space="preserve">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pStyle w:val="Normal"/>
        <w:spacing w:after="200"/>
      </w:pPr>
      <w:r>
        <w:rPr>
          <w:rFonts w:ascii="TeX Gyre Pagella" w:hAnsi="TeX Gyre Pagella"/>
          <w:sz w:val="20"/>
        </w:rPr>
        <w:t xml:space="preserve">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pStyle w:val="Normal"/>
        <w:spacing w:after="200"/>
      </w:pPr>
      <w:r>
        <w:t>Aestheticization therefore operates as a feedback loop between practice and representation. Texts and images teach people what to notice in tea, while those valuations shape later practices of collecting, preparing, and depicting it. A single object can thus function as tool, art object, historical document, and social marker at once.</w:t>
      </w:r>
    </w:p>
    <w:p>
      <w:pPr>
        <w:pStyle w:val="Heading1"/>
        <w:spacing w:after="200" w:before="300"/>
      </w:pPr>
      <w:r>
        <w:t>5. Sencha, Literati Sociability, and the Social Performance of Taste</w:t>
      </w:r>
    </w:p>
    <w:p>
      <w:pPr>
        <w:pStyle w:val="Heading2"/>
        <w:spacing w:after="160" w:before="240"/>
      </w:pPr>
      <w:r>
        <w:rPr>
          <w:rFonts w:ascii="TeX Gyre Pagella" w:hAnsi="TeX Gyre Pagella"/>
          <w:b/>
          <w:bCs/>
          <w:i/>
          <w:iCs/>
          <w:sz w:val="20"/>
        </w:rPr>
        <w:t xml:space="preserve">5.1 Literati Sociability and Connoisseurship</w:t>
      </w:r>
    </w:p>
    <w:p>
      <w:pPr>
        <w:pStyle w:val="Normal"/>
        <w:spacing w:after="200"/>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[12]. Treating Japanese tea culture as synonymous with matcha-centered ceremony risks narrowing the field and obscuring the literati networks, commercial exchanges, and everyday practices through which other tea forms acquired significance.</w:t>
      </w:r>
    </w:p>
    <w:p>
      <w:pPr>
        <w:pStyle w:val="Normal"/>
        <w:spacing w:after="200"/>
      </w:pPr>
      <w:r>
        <w:rPr>
          <w:rFonts w:ascii="TeX Gyre Pagella" w:hAnsi="TeX Gyre Pagella"/>
          <w:sz w:val="20"/>
        </w:rPr>
        <w:t xml:space="preserve">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pStyle w:val="Normal"/>
        <w:spacing w:after="200"/>
      </w:pPr>
      <w:r>
        <w:rPr>
          <w:rFonts w:ascii="TeX Gyre Pagella" w:hAnsi="TeX Gyre Pagella"/>
          <w:sz w:val="20"/>
        </w:rPr>
        <w:t xml:space="preserve">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pStyle w:val="Normal"/>
        <w:spacing w:after="200"/>
      </w:pPr>
      <w:r>
        <w:rPr>
          <w:rFonts w:ascii="TeX Gyre Pagella" w:hAnsi="TeX Gyre Pagella"/>
          <w:sz w:val="20"/>
        </w:rPr>
        <w:t xml:space="preserve">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pStyle w:val="Normal"/>
        <w:spacing w:after="200"/>
      </w:pPr>
      <w:r>
        <w:t>Yukitada Shimamura’s study of Rai San’yō, sencha, and the material worlds of late early-modern literati culture offers a useful point of reference for this line of inquiry [1].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pStyle w:val="Normal"/>
        <w:spacing w:after="200"/>
      </w:pPr>
      <w:r>
        <w:t>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pStyle w:val="Normal"/>
        <w:spacing w:after="200"/>
      </w:pPr>
      <w:r>
        <w:rPr>
          <w:rFonts w:ascii="TeX Gyre Pagella" w:hAnsi="TeX Gyre Pagella"/>
          <w:sz w:val="20"/>
        </w:rPr>
        <w:t xml:space="preserve">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pStyle w:val="Normal"/>
        <w:spacing w:after="200"/>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pStyle w:val="Normal"/>
        <w:spacing w:after="200"/>
      </w:pPr>
      <w:r>
        <w:t>This mobility reinforces the claim that aestheticization is a process rather than a final condition. Tea can move from local product to luxury commodity, from everyday drink to emblem of national culture, or from specialized literati practice to commercial lifestyle product. Each recontextualization changes what aspects of the leaf become visible and valued.</w:t>
      </w:r>
    </w:p>
    <w:p>
      <w:pPr>
        <w:pStyle w:val="Heading1"/>
        <w:spacing w:after="200" w:before="300"/>
      </w:pPr>
      <w:r>
        <w:rPr>
          <w:rFonts w:ascii="TeX Gyre Pagella" w:hAnsi="TeX Gyre Pagella"/>
          <w:b/>
          <w:bCs/>
          <w:sz w:val="20"/>
        </w:rPr>
        <w:t xml:space="preserve">6. Tea Utensils, Ritual, and Material Mediation</w:t>
      </w:r>
    </w:p>
    <w:p>
      <w:pPr>
        <w:pStyle w:val="Heading2"/>
        <w:spacing w:after="160" w:before="240"/>
      </w:pPr>
      <w:r>
        <w:rPr>
          <w:rFonts w:ascii="TeX Gyre Pagella" w:hAnsi="TeX Gyre Pagella"/>
          <w:b/>
          <w:bCs/>
          <w:i/>
          <w:iCs/>
          <w:sz w:val="20"/>
        </w:rPr>
        <w:t xml:space="preserve">6.1 Objects as Sensory Infrastructures</w:t>
      </w:r>
    </w:p>
    <w:p>
      <w:pPr>
        <w:pStyle w:val="Normal"/>
        <w:spacing w:after="200"/>
      </w:pPr>
      <w:r>
        <w:rPr>
          <w:rFonts w:ascii="TeX Gyre Pagella" w:hAnsi="TeX Gyre Pagella"/>
          <w:sz w:val="20"/>
        </w:rPr>
        <w:t xml:space="preserve">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pStyle w:val="Normal"/>
        <w:spacing w:after="200"/>
      </w:pPr>
      <w:r>
        <w:t>Studies of Japanese tea make this especially clear. Pitelka’s collection includes a study of “Shopping for Pots in Momoyama Japan,” demonstrating that the acquisition of vessels was tied to commerce and connoisseurship rather than detached contemplation [10]. Kumakura likewise treats the tea whisk, bowl, room, and bodily actions as historically contingent components of tea culture [11]. The implication is methodological: to understand the aesthetics of tea, one must study the infrastructures of perception.</w:t>
      </w:r>
    </w:p>
    <w:p>
      <w:pPr>
        <w:pStyle w:val="Normal"/>
        <w:spacing w:after="200"/>
      </w:pPr>
      <w:r>
        <w:rPr>
          <w:rFonts w:ascii="TeX Gyre Pagella" w:hAnsi="TeX Gyre Pagella"/>
          <w:sz w:val="20"/>
        </w:rPr>
        <w:t xml:space="preserve">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pStyle w:val="Normal"/>
        <w:spacing w:after="200"/>
      </w:pPr>
      <w:r>
        <w:rPr>
          <w:rFonts w:ascii="TeX Gyre Pagella" w:hAnsi="TeX Gyre Pagella"/>
          <w:sz w:val="20"/>
        </w:rPr>
        <w:t xml:space="preserve">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pStyle w:val="Normal"/>
        <w:spacing w:after="200"/>
      </w:pPr>
      <w:r>
        <w:t>Kumakura’s account of tea gathering emphasizes how formalized behavior, spatial arrangement, and utensils work together [11].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pStyle w:val="Normal"/>
        <w:spacing w:after="200"/>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pStyle w:val="Normal"/>
        <w:spacing w:after="200"/>
      </w:pPr>
      <w:r>
        <w:rPr>
          <w:rFonts w:ascii="TeX Gyre Pagella" w:hAnsi="TeX Gyre Pagella"/>
          <w:sz w:val="20"/>
        </w:rPr>
        <w:t xml:space="preserve">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pStyle w:val="Normal"/>
        <w:spacing w:after="200"/>
      </w:pPr>
      <w:r>
        <w:t>This is another place where Appadurai’s social life of things becomes useful [2].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pStyle w:val="Normal"/>
        <w:spacing w:after="200"/>
      </w:pPr>
      <w:r>
        <w:rPr>
          <w:rFonts w:ascii="TeX Gyre Pagella" w:hAnsi="TeX Gyre Pagella"/>
          <w:sz w:val="20"/>
        </w:rPr>
        <w:t xml:space="preserve">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pStyle w:val="Normal"/>
        <w:spacing w:after="200"/>
      </w:pPr>
      <w:r>
        <w:rPr>
          <w:rFonts w:ascii="TeX Gyre Pagella" w:hAnsi="TeX Gyre Pagella"/>
          <w:sz w:val="20"/>
        </w:rPr>
        <w:t xml:space="preserve">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spacing w:after="200" w:before="300"/>
      </w:pPr>
      <w:r>
        <w:t>7. Circulation and Reclassification across China, Japan, and Korea</w:t>
      </w:r>
    </w:p>
    <w:p>
      <w:pPr>
        <w:pStyle w:val="Heading2"/>
        <w:spacing w:after="160" w:before="240"/>
      </w:pPr>
      <w:r>
        <w:rPr>
          <w:rFonts w:ascii="TeX Gyre Pagella" w:hAnsi="TeX Gyre Pagella"/>
          <w:b/>
          <w:bCs/>
          <w:i/>
          <w:iCs/>
          <w:sz w:val="20"/>
        </w:rPr>
        <w:t xml:space="preserve">7.1 Regional Circulation and Reclassification</w:t>
      </w:r>
    </w:p>
    <w:p>
      <w:pPr>
        <w:pStyle w:val="Normal"/>
        <w:spacing w:after="200"/>
      </w:pPr>
      <w:r>
        <w:rPr>
          <w:rFonts w:ascii="TeX Gyre Pagella" w:hAnsi="TeX Gyre Pagella"/>
          <w:sz w:val="20"/>
        </w:rPr>
        <w:t xml:space="preserve">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pStyle w:val="Normal"/>
        <w:spacing w:after="200"/>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[6,7]. The Classic of Tea provided a textual framework capable of connecting botanical knowledge, processing, utensils, brewing, and consumption. Tea thereby became not simply a beverage but an object through which knowledge could be organized.</w:t>
      </w:r>
    </w:p>
    <w:p>
      <w:pPr>
        <w:pStyle w:val="Normal"/>
        <w:spacing w:after="200"/>
      </w:pPr>
      <w:r>
        <w:t>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[9]. Pitelka’s collection highlights how later historical writing, commerce, artistic production, and notions of Japaneseness further reshaped the field [10]. These histories suggest that cultural “inheritance” is not passive transmission. Imported forms become meaningful through local acts of selection and reinterpretation.</w:t>
      </w:r>
    </w:p>
    <w:p>
      <w:pPr>
        <w:pStyle w:val="Normal"/>
        <w:spacing w:after="200"/>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pStyle w:val="Normal"/>
        <w:spacing w:after="200"/>
      </w:pPr>
      <w:r>
        <w:rPr>
          <w:rFonts w:ascii="TeX Gyre Pagella" w:hAnsi="TeX Gyre Pagella"/>
          <w:sz w:val="20"/>
        </w:rPr>
        <w:t xml:space="preserve">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pStyle w:val="Normal"/>
        <w:spacing w:after="200"/>
      </w:pPr>
      <w:r>
        <w:rPr>
          <w:rFonts w:ascii="TeX Gyre Pagella" w:hAnsi="TeX Gyre Pagella"/>
          <w:sz w:val="20"/>
        </w:rPr>
        <w:t xml:space="preserve">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pStyle w:val="Normal"/>
        <w:spacing w:after="200"/>
      </w:pPr>
      <w:r>
        <w:rPr>
          <w:rFonts w:ascii="TeX Gyre Pagella" w:hAnsi="TeX Gyre Pagella"/>
          <w:sz w:val="20"/>
        </w:rPr>
        <w:t xml:space="preserve">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spacing w:after="200" w:before="300"/>
      </w:pPr>
      <w:r>
        <w:t>8. Contemporary Tea Culture: Authenticity and Recontextualization</w:t>
      </w:r>
    </w:p>
    <w:p>
      <w:pPr>
        <w:pStyle w:val="Heading2"/>
        <w:spacing w:after="160" w:before="240"/>
      </w:pPr>
      <w:r>
        <w:rPr>
          <w:rFonts w:ascii="TeX Gyre Pagella" w:hAnsi="TeX Gyre Pagella"/>
          <w:b/>
          <w:bCs/>
          <w:i/>
          <w:iCs/>
          <w:sz w:val="20"/>
        </w:rPr>
        <w:t xml:space="preserve">8.1 Authenticity as a Valuation Practice</w:t>
      </w:r>
    </w:p>
    <w:p>
      <w:pPr>
        <w:pStyle w:val="Normal"/>
        <w:spacing w:after="200"/>
      </w:pPr>
      <w:r>
        <w:rPr>
          <w:rFonts w:ascii="TeX Gyre Pagella" w:hAnsi="TeX Gyre Pagella"/>
          <w:sz w:val="20"/>
        </w:rPr>
        <w:t xml:space="preserve">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pStyle w:val="Normal"/>
        <w:spacing w:after="200"/>
      </w:pPr>
      <w:r>
        <w:t>Kopytoff’s insight that commodities are culturally marked as particular kinds of things is especially relevant here [3].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pStyle w:val="Normal"/>
        <w:spacing w:after="200"/>
      </w:pPr>
      <w:r>
        <w:t>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pStyle w:val="Normal"/>
        <w:spacing w:after="200"/>
      </w:pPr>
      <w:r>
        <w:rPr>
          <w:rFonts w:ascii="TeX Gyre Pagella" w:hAnsi="TeX Gyre Pagella"/>
          <w:sz w:val="20"/>
        </w:rPr>
        <w:t xml:space="preserve">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pStyle w:val="Normal"/>
        <w:spacing w:after="200"/>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pStyle w:val="Normal"/>
        <w:spacing w:after="200"/>
      </w:pPr>
      <w:r>
        <w:rPr>
          <w:rFonts w:ascii="TeX Gyre Pagella" w:hAnsi="TeX Gyre Pagella"/>
          <w:sz w:val="20"/>
        </w:rPr>
        <w:t xml:space="preserve">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pStyle w:val="Normal"/>
        <w:spacing w:after="200"/>
      </w:pPr>
      <w:r>
        <w:t>The politics of authenticity become particularly visible when national and regional identities are attached to tea. Pitelka notes that Japanese tea has participated in the production of ideas about Japaneseness [10].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pStyle w:val="Normal"/>
        <w:spacing w:after="200"/>
      </w:pPr>
      <w:r>
        <w:rPr>
          <w:rFonts w:ascii="TeX Gyre Pagella" w:hAnsi="TeX Gyre Pagella"/>
          <w:sz w:val="20"/>
        </w:rPr>
        <w:t xml:space="preserve">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pStyle w:val="Normal"/>
        <w:spacing w:after="200"/>
      </w:pPr>
      <w:r>
        <w:t>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pStyle w:val="Normal"/>
        <w:spacing w:after="200"/>
      </w:pPr>
      <w:r>
        <w:rPr>
          <w:rFonts w:ascii="TeX Gyre Pagella" w:hAnsi="TeX Gyre Pagella"/>
          <w:sz w:val="20"/>
        </w:rPr>
        <w:t xml:space="preserve">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spacing w:after="200" w:before="300"/>
      </w:pPr>
      <w:r>
        <w:rPr>
          <w:rFonts w:ascii="TeX Gyre Pagella" w:hAnsi="TeX Gyre Pagella"/>
          <w:b/>
          <w:bCs/>
          <w:sz w:val="20"/>
        </w:rPr>
        <w:t xml:space="preserve">9. Toward a Material-Cultural Theory of Aestheticization</w:t>
      </w:r>
    </w:p>
    <w:p>
      <w:pPr>
        <w:pStyle w:val="Heading2"/>
        <w:spacing w:after="160" w:before="240"/>
      </w:pPr>
      <w:r>
        <w:rPr>
          <w:rFonts w:ascii="TeX Gyre Pagella" w:hAnsi="TeX Gyre Pagella"/>
          <w:b/>
          <w:bCs/>
          <w:i/>
          <w:iCs/>
          <w:sz w:val="20"/>
        </w:rPr>
        <w:t xml:space="preserve">9.1 A Five-Stage Model of Aestheticization</w:t>
      </w:r>
    </w:p>
    <w:p>
      <w:pPr>
        <w:pStyle w:val="Normal"/>
        <w:spacing w:after="200"/>
      </w:pPr>
      <w:r>
        <w:rPr>
          <w:rFonts w:ascii="TeX Gyre Pagella" w:hAnsi="TeX Gyre Pagella"/>
          <w:sz w:val="20"/>
        </w:rPr>
        <w:t xml:space="preserve">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pStyle w:val="Normal"/>
        <w:spacing w:after="200"/>
      </w:pPr>
      <w:r>
        <w:rPr>
          <w:rFonts w:ascii="TeX Gyre Pagella" w:hAnsi="TeX Gyre Pagella"/>
          <w:sz w:val="20"/>
        </w:rPr>
        <w:t xml:space="preserve">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pStyle w:val="Normal"/>
        <w:spacing w:after="200"/>
      </w:pPr>
      <w:r>
        <w:rPr>
          <w:rFonts w:ascii="TeX Gyre Pagella" w:hAnsi="TeX Gyre Pagella"/>
          <w:sz w:val="20"/>
        </w:rPr>
        <w:t xml:space="preserve">Second, these differences are mediated through tools and bodies. Brewing vessels, water, heat, timing, hand movements, rooms, and serving sequences determine what can be perceived and how. The sensory world is therefore organized by material infrastructures.</w:t>
      </w:r>
    </w:p>
    <w:p>
      <w:pPr>
        <w:pStyle w:val="Normal"/>
        <w:spacing w:after="200"/>
      </w:pPr>
      <w:r>
        <w:rPr>
          <w:rFonts w:ascii="TeX Gyre Pagella" w:hAnsi="TeX Gyre Pagella"/>
          <w:sz w:val="20"/>
        </w:rPr>
        <w:t xml:space="preserve">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pStyle w:val="Normal"/>
        <w:spacing w:after="200"/>
      </w:pPr>
      <w:r>
        <w:rPr>
          <w:rFonts w:ascii="TeX Gyre Pagella" w:hAnsi="TeX Gyre Pagella"/>
          <w:sz w:val="20"/>
        </w:rPr>
        <w:t xml:space="preserve">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pStyle w:val="Normal"/>
        <w:spacing w:after="200"/>
      </w:pPr>
      <w:r>
        <w:rPr>
          <w:rFonts w:ascii="TeX Gyre Pagella" w:hAnsi="TeX Gyre Pagella"/>
          <w:sz w:val="20"/>
        </w:rPr>
        <w:t xml:space="preserve">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pStyle w:val="Normal"/>
        <w:spacing w:after="200"/>
      </w:pPr>
      <w:r>
        <w:rPr>
          <w:rFonts w:ascii="TeX Gyre Pagella" w:hAnsi="TeX Gyre Pagella"/>
          <w:sz w:val="20"/>
        </w:rP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pStyle w:val="Normal"/>
        <w:spacing w:after="200"/>
      </w:pPr>
      <w:r>
        <w:t>The theory also changes how literature, visual art, and ritual are positioned. Texts make sensory distinctions thinkable and memorable; images frame which materials and gestures count as significant; ritual trains bodies to move, wait, taste, and look in patterned ways. None simply reflects an already formed tea culture. Each participates in stabilizing distinctions, while the material properties of tea continue to constrain and redirect what can be said, shown, and enacted.</w:t>
      </w:r>
    </w:p>
    <w:p>
      <w:pPr>
        <w:pStyle w:val="Normal"/>
        <w:spacing w:after="200"/>
      </w:pPr>
      <w:r>
        <w:rPr>
          <w:rFonts w:ascii="TeX Gyre Pagella" w:hAnsi="TeX Gyre Pagella"/>
          <w:sz w:val="20"/>
        </w:rPr>
        <w:t xml:space="preserve">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spacing w:after="200" w:before="300"/>
      </w:pPr>
      <w:r>
        <w:rPr>
          <w:rFonts w:ascii="TeX Gyre Pagella" w:hAnsi="TeX Gyre Pagella"/>
          <w:b/>
          <w:bCs/>
          <w:sz w:val="20"/>
        </w:rPr>
        <w:t xml:space="preserve">10. Conclusion</w:t>
      </w:r>
    </w:p>
    <w:p>
      <w:pPr>
        <w:pStyle w:val="Normal"/>
        <w:spacing w:after="200"/>
      </w:pPr>
      <w:r>
        <w:rPr>
          <w:rFonts w:ascii="TeX Gyre Pagella" w:hAnsi="TeX Gyre Pagella"/>
          <w:sz w:val="20"/>
        </w:rPr>
        <w:t xml:space="preserve">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pStyle w:val="Normal"/>
        <w:spacing w:after="200"/>
      </w:pPr>
      <w:r>
        <w:rPr>
          <w:rFonts w:ascii="TeX Gyre Pagella" w:hAnsi="TeX Gyre Pagella"/>
          <w:sz w:val="20"/>
        </w:rPr>
        <w:t xml:space="preserve">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pStyle w:val="Normal"/>
        <w:spacing w:after="200"/>
      </w:pPr>
      <w:r>
        <w:rPr>
          <w:rFonts w:ascii="TeX Gyre Pagella" w:hAnsi="TeX Gyre Pagella"/>
          <w:sz w:val="20"/>
        </w:rPr>
        <w:t xml:space="preserve">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pStyle w:val="Normal"/>
        <w:spacing w:after="200"/>
      </w:pPr>
      <w:r>
        <w:rPr>
          <w:rFonts w:ascii="TeX Gyre Pagella" w:hAnsi="TeX Gyre Pagella"/>
          <w:sz w:val="20"/>
        </w:rPr>
        <w:t xml:space="preserve">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pStyle w:val="Normal"/>
        <w:spacing w:after="200"/>
      </w:pPr>
      <w:r>
        <w:rPr>
          <w:rFonts w:ascii="TeX Gyre Pagella" w:hAnsi="TeX Gyre Pagella"/>
          <w:sz w:val="20"/>
        </w:rPr>
        <w:t xml:space="preserve">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pStyle w:val="Normal"/>
        <w:spacing w:after="200"/>
      </w:pPr>
      <w:r>
        <w:rPr>
          <w:rFonts w:ascii="TeX Gyre Pagella" w:hAnsi="TeX Gyre Pagella"/>
          <w:sz w:val="20"/>
        </w:rP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2"/>
        <w:spacing w:after="160" w:before="240"/>
      </w:pPr>
      <w:r>
        <w:rPr>
          <w:rFonts w:ascii="TeX Gyre Pagella" w:hAnsi="TeX Gyre Pagella"/>
          <w:b/>
          <w:bCs/>
          <w:i/>
          <w:iCs/>
          <w:sz w:val="20"/>
        </w:rPr>
        <w:t xml:space="preserve">Acknowledgments</w:t>
      </w:r>
    </w:p>
    <w:p>
      <w:pPr>
        <w:pStyle w:val="Normal"/>
        <w:spacing w:after="200"/>
      </w:pPr>
      <w:r>
        <w:rPr>
          <w:rFonts w:ascii="TeX Gyre Pagella" w:hAnsi="TeX Gyre Pagella"/>
          <w:sz w:val="20"/>
        </w:rPr>
        <w:t>The author thanks the Council on East Asian Studies at Yale University for making public information about the lecture that prompted the chapter’s discussion of Rai San’yō and sencha available.</w:t>
      </w:r>
    </w:p>
    <w:p>
      <w:pPr>
        <w:pStyle w:val="Heading2"/>
        <w:spacing w:after="160" w:before="240"/>
      </w:pPr>
      <w:r>
        <w:rPr>
          <w:rFonts w:ascii="TeX Gyre Pagella" w:hAnsi="TeX Gyre Pagella"/>
          <w:b/>
          <w:bCs/>
          <w:i/>
          <w:iCs/>
          <w:sz w:val="20"/>
        </w:rPr>
        <w:t xml:space="preserve">Conflict of interest</w:t>
      </w:r>
    </w:p>
    <w:p>
      <w:pPr>
        <w:pStyle w:val="Normal"/>
        <w:spacing w:after="200"/>
      </w:pPr>
      <w:r>
        <w:rPr>
          <w:rFonts w:ascii="TeX Gyre Pagella" w:hAnsi="TeX Gyre Pagella"/>
          <w:sz w:val="20"/>
        </w:rPr>
        <w:t xml:space="preserve">The author declares no conflict of interest.</w:t>
      </w:r>
    </w:p>
    <w:p>
      <w:pPr>
        <w:pStyle w:val="Heading1"/>
        <w:spacing w:after="200" w:before="300"/>
      </w:pPr>
      <w:r>
        <w:rPr>
          <w:rFonts w:ascii="TeX Gyre Pagella" w:hAnsi="TeX Gyre Pagella"/>
          <w:b/>
          <w:bCs/>
          <w:sz w:val="20"/>
        </w:rPr>
        <w:t xml:space="preserve">References</w:t>
      </w:r>
    </w:p>
    <w:p>
      <w:pPr>
        <w:pStyle w:val="Normal"/>
        <w:spacing w:after="20"/>
        <w:ind w:hanging="283" w:left="283"/>
      </w:pPr>
      <w:r>
        <w:t>[1] Shimamura Y. 頼山陽と煎茶: 近世後期の文人の趣味とその精神性に関する試論 [Rai Sanyō to sencha: Kinsei kōki no bunjin no shumi to sono seishinsei ni kansuru shiron]. Tokyo: Kasama Shoin; 2022. ISBN 9784305709585.</w:t>
      </w:r>
    </w:p>
    <w:p>
      <w:pPr>
        <w:pStyle w:val="Normal"/>
        <w:spacing w:after="20"/>
        <w:ind w:hanging="283" w:left="283"/>
      </w:pPr>
      <w:r>
        <w:t>[2] Appadurai A, editor. The Social Life of Things: Commodities in Cultural Perspective. Cambridge: Cambridge University Press; 1986. DOI: 10.1017/CBO9780511819582.</w:t>
      </w:r>
    </w:p>
    <w:p>
      <w:pPr>
        <w:pStyle w:val="Normal"/>
        <w:spacing w:after="20"/>
        <w:ind w:hanging="283" w:left="283"/>
      </w:pPr>
      <w:r>
        <w:t>[3] Kopytoff I. The cultural biography of things: commoditization as process. In: Appadurai A, editor. The Social Life of Things: Commodities in Cultural Perspective. Cambridge: Cambridge University Press; 1986. p. 64–92. DOI: 10.1017/CBO9780511819582.004.</w:t>
      </w:r>
    </w:p>
    <w:p>
      <w:pPr>
        <w:pStyle w:val="Normal"/>
        <w:spacing w:after="20"/>
        <w:ind w:hanging="283" w:left="283"/>
      </w:pPr>
      <w:r>
        <w:t>[4] Ingold T. Materials against materiality. Archaeological Dialogues. 2007;14(1):1–16. DOI: 10.1017/S1380203807002127.</w:t>
      </w:r>
    </w:p>
    <w:p>
      <w:pPr>
        <w:pStyle w:val="Normal"/>
        <w:spacing w:after="20"/>
        <w:ind w:hanging="283" w:left="283"/>
      </w:pPr>
      <w:r>
        <w:t>[5] Ingold T. Making: Anthropology, Archaeology, Art and Architecture. London: Routledge; 2013.</w:t>
      </w:r>
    </w:p>
    <w:p>
      <w:pPr>
        <w:pStyle w:val="Normal"/>
        <w:spacing w:after="20"/>
        <w:ind w:hanging="283" w:left="283"/>
      </w:pPr>
      <w:r>
        <w:t>[6] Benn JA. Tea in China: A Religious and Cultural History. Honolulu: University of Hawai’i Press; 2015. DOI: 10.21313/hawaii/9780824839635.001.0001.</w:t>
      </w:r>
    </w:p>
    <w:p>
      <w:pPr>
        <w:pStyle w:val="Normal"/>
        <w:spacing w:after="20"/>
        <w:ind w:hanging="283" w:left="283"/>
      </w:pPr>
      <w:r>
        <w:t>[7] Benn JA. Tea poetry in Tang China. In: Tea in China: A Religious and Cultural History. Honolulu: University of Hawai’i Press; 2015. p. 72–95. DOI: 10.21313/hawaii/9780824839635.003.0004.</w:t>
      </w:r>
    </w:p>
    <w:p>
      <w:pPr>
        <w:pStyle w:val="Normal"/>
        <w:spacing w:after="20"/>
        <w:ind w:hanging="283" w:left="283"/>
      </w:pPr>
      <w:r>
        <w:t>[8] Mair VH, Hoh E. The True History of Tea. London; New York: Thames &amp; Hudson; 2009.</w:t>
      </w:r>
    </w:p>
    <w:p>
      <w:pPr>
        <w:pStyle w:val="Normal"/>
        <w:spacing w:after="20"/>
        <w:ind w:hanging="283" w:left="283"/>
      </w:pPr>
      <w:r>
        <w:t>[9] Varley HP, Kumakura I, editors. Tea in Japan: Essays on the History of Chanoyu. Honolulu: University of Hawai’i Press; 1989. DOI: 10.1515/9780824844394.</w:t>
      </w:r>
    </w:p>
    <w:p>
      <w:pPr>
        <w:pStyle w:val="Normal"/>
        <w:spacing w:after="20"/>
        <w:ind w:hanging="283" w:left="283"/>
      </w:pPr>
      <w:r>
        <w:t>[10] Pitelka M, editor. Japanese Tea Culture: Art, History and Practice. London: Routledge; 2013.</w:t>
      </w:r>
    </w:p>
    <w:p>
      <w:pPr>
        <w:pStyle w:val="Normal"/>
        <w:spacing w:after="20"/>
        <w:ind w:hanging="283" w:left="283"/>
      </w:pPr>
      <w:r>
        <w:t>[11] Kumakura I. Japanese Tea Culture: The Heart and Form of Chanoyu. Translated by Martha J. McClintock. Tokyo: Japan Publishing Industry Foundation for Culture; 2023. DOI: 10.2307/jj.2840648.</w:t>
      </w:r>
    </w:p>
    <w:p>
      <w:pPr>
        <w:pStyle w:val="Normal"/>
        <w:spacing w:after="20"/>
        <w:ind w:hanging="283" w:left="283"/>
      </w:pPr>
      <w:r>
        <w:t>[12] Carriger ML. Tea cultures of Japan. In: Goldstein D, editor-in-chief. Oxford Research Encyclopedia of Food Studies. Oxford: Oxford University Press; 2026. DOI: 10.1093/9780197852538.003.0250.</w:t>
      </w:r>
    </w:p>
    <w:p>
      <w:pPr>
        <w:pStyle w:val="Normal"/>
        <w:spacing w:after="20"/>
        <w:ind w:hanging="283" w:left="283"/>
      </w:pPr>
      <w:r>
        <w:t>[13] Bourdieu P. Distinction: A Social Critique of the Judgement of Taste. Translated by Richard Nice. Cambridge, MA: Harvard University Press; 1984.</w:t>
      </w:r>
    </w:p>
    <w:p>
      <w:pPr>
        <w:pStyle w:val="Normal"/>
        <w:spacing w:after="20"/>
        <w:ind w:hanging="283" w:left="283"/>
      </w:pPr>
      <w:r>
        <w:t>[14] Hellyer R. Green with Milk and Sugar: When Japan Filled America’s Tea Cups. New York: Columbia University Press; 2021. DOI: 10.7312/hell19910.</w:t>
      </w:r>
    </w:p>
    <w:p>
      <w:pPr>
        <w:pStyle w:val="Normal"/>
        <w:spacing w:after="20"/>
        <w:ind w:hanging="283" w:left="283"/>
      </w:pPr>
      <w:r>
        <w:t>[15] Oshikiri T. The Shogun’s tea jar: ritual, material culture, and political authority in early modern Japan. The Historical Journal. 2016;59(4):927–945. DOI: 10.1017/S0018246X1600008X.</w:t>
      </w:r>
    </w:p>
    <w:p>
      <w:pPr>
        <w:pStyle w:val="Normal"/>
        <w:spacing w:after="20"/>
        <w:ind w:hanging="283" w:left="283"/>
      </w:pPr>
      <w:r>
        <w:t>[16] Sen Sōshitsu XV. The Japanese Way of Tea: From Its Origins in China to Sen Rikyu. Translated by V. Dixon Morris. Honolulu: University of Hawai’i Press; 1998. DOI: 10.1515/9780824864804.</w:t>
      </w:r>
    </w:p>
    <w:p>
      <w:pPr>
        <w:pStyle w:val="Normal"/>
        <w:spacing w:after="20"/>
        <w:ind w:hanging="283" w:left="283"/>
      </w:pPr>
      <w:r>
        <w:t>[17] Lee HC, Kwon SH. The invention and promotion of cha-rye in Korea. Asian Journal of Social Science. 2022;50(3):171–177. DOI: 10.1016/j.ajss.2022.06.004.</w:t>
      </w:r>
    </w:p>
    <w:p>
      <w:pPr>
        <w:pStyle w:val="Normal"/>
        <w:spacing w:after="20"/>
        <w:ind w:hanging="283" w:left="283"/>
      </w:pPr>
      <w:r>
        <w:t>[18] de Certeau M. The Practice of Everyday Life. Volume 1. Translated by Steven Rendall. Berkeley: University of California Press; 1984.</w:t>
      </w:r>
    </w:p>
    <w:sectPr>
      <w:footerReference w:type="default" r:id="rId8"/>
      <w:pgSz w:w="10205" w:h="14740" w:orient="portrait"/>
      <w:pgMar w:top="1020" w:right="1502" w:bottom="794" w:left="1502"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 Gyre Pagella" w:hAnsi="TeX Gyre Pagella"/>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line="240" w:lineRule="auto" w:after="0"/>
      <w:ind w:firstLine="283"/>
    </w:pPr>
    <w:rPr>
      <w:rFonts w:ascii="TeX Gyre Pagella" w:hAnsi="TeX Gyre Pagella"/>
      <w:sz w:val="20"/>
    </w:rPr>
  </w:style>
  <w:style w:type="paragraph" w:customStyle="1" w:styleId="Heading1">
    <w:name w:val="heading 1"/>
    <w:pPr>
      <w:keepNext/>
      <w:spacing w:line="240" w:lineRule="auto" w:before="160" w:after="40"/>
      <w:ind w:firstLine="0"/>
    </w:pPr>
    <w:rPr>
      <w:rFonts w:ascii="TeX Gyre Pagella" w:hAnsi="TeX Gyre Pagella"/>
      <w:b/>
      <w:sz w:val="24"/>
    </w:rPr>
  </w:style>
  <w:style w:type="paragraph" w:customStyle="1" w:styleId="Heading2">
    <w:name w:val="heading 2"/>
    <w:pPr>
      <w:keepNext/>
      <w:spacing w:line="240" w:lineRule="auto" w:before="100" w:after="40"/>
      <w:ind w:firstLine="0"/>
    </w:pPr>
    <w:rPr>
      <w:rFonts w:ascii="TeX Gyre Pagella" w:hAnsi="TeX Gyre Pagella"/>
      <w:b/>
      <w:sz w:val="21"/>
    </w:rPr>
  </w:style>
  <w:style w:type="paragraph" w:customStyle="1" w:styleId="IntechOpenTitle">
    <w:name w:val="IntechOpen Title"/>
    <w:pPr>
      <w:spacing w:line="240" w:lineRule="auto" w:after="120"/>
      <w:ind w:firstLine="0"/>
      <w:jc w:val="center"/>
    </w:pPr>
    <w:rPr>
      <w:rFonts w:ascii="TeX Gyre Pagella" w:hAnsi="TeX Gyre Pagella"/>
      <w:b/>
      <w:sz w:val="32"/>
    </w:rPr>
  </w:style>
  <w:style w:type="paragraph" w:customStyle="1" w:styleId="IntechOpenAuthor">
    <w:name w:val="IntechOpen Author"/>
    <w:pPr>
      <w:spacing w:after="160"/>
      <w:ind w:firstLine="0"/>
      <w:jc w:val="center"/>
    </w:pPr>
    <w:rPr>
      <w:rFonts w:ascii="TeX Gyre Pagella" w:hAnsi="TeX Gyre Pagella"/>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 Jiaqian Zhu</dc:creator>
  <cp:lastModifiedBy>Un-named</cp:lastModifiedBy>
  <cp:revision>1</cp:revision>
  <dcterms:created xsi:type="dcterms:W3CDTF">2026-09-20T09:41:00.016Z</dcterms:created>
  <dcterms:modified xsi:type="dcterms:W3CDTF">2026-09-20T09:41:00.017Z</dcterms:modified>
  <dc:title>Aestheticizing the Leaf: Literary, Visual, and Cultural Consumption of Tea in East Asia</dc:title>
  <dc:subject>IntechOpen book chapter manuscript</dc:subject>
  <dc:description>Reformatted and cleaned for IntechOpen submission audit; affiliation intentionally left unchanged from source manuscript.</dc:description>
</cp:coreProperties>
</file>

<file path=docProps/custom.xml><?xml version="1.0" encoding="utf-8"?>
<Properties xmlns="http://schemas.openxmlformats.org/officeDocument/2006/custom-properties" xmlns:vt="http://schemas.openxmlformats.org/officeDocument/2006/docPropsVTypes"/>
</file>