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Connact.ai Financial Networking &amp; Email Writing Workbench</w:t>
      </w:r>
    </w:p>
    <w:p>
      <w:pPr>
        <w:pStyle w:val="Subtitle"/>
      </w:pPr>
      <w:r>
        <w:t>Product Detailed Design and Four-Phase Development Specifications</w:t>
      </w:r>
    </w:p>
    <w:p>
      <w:r>
        <w:t>This design breaks down the financial networking expansion requirements into independently developable, phased-validated products. Phase 1 connects resume, people search, AI writing, and draft; Phase 2 integrates account and real Gmail; Phase 3 adds inbox and manual follow-up; Phase 4 completes batch activities. Core design focuses on letting users know what facts the AI used, what content was changed, and which results remain unverified.</w:t>
      </w:r>
    </w:p>
    <w:p>
      <w:r>
        <w:t>Confirmed Scope: Personal workspace can connect multiple Gmail mailboxes; team mode is reserved; English interface is default and supports Simplified Chinese; email generation language is independent. Finance is fully built; Academic only retains entry and extension agreement. No automated email sequences are included in any phase.</w:t>
      </w:r>
    </w:p>
    <w:tbl>
      <w:tblPr>
        <w:tblW w:type="auto" w:w="0"/>
        <w:jc w:val="center"/>
        <w:tblLayout w:type="fixed"/>
        <w:tblLook w:firstColumn="1" w:firstRow="1" w:lastColumn="0" w:lastRow="0" w:noHBand="0" w:noVBand="1" w:val="04A0"/>
      </w:tblPr>
      <w:tblGrid>
        <w:gridCol w:w="792"/>
        <w:gridCol w:w="5040"/>
        <w:gridCol w:w="3744"/>
      </w:tblGrid>
      <w:tr>
        <w:trPr>
          <w:tblHeader/>
          <w:cantSplit/>
        </w:trPr>
        <w:tc>
          <w:tcPr>
            <w:tcW w:type="dxa" w:w="792"/>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Phase</w:t>
            </w:r>
          </w:p>
        </w:tc>
        <w:tc>
          <w:tcPr>
            <w:tcW w:type="dxa" w:w="504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Tasks users can complete</w:t>
            </w:r>
          </w:p>
        </w:tc>
        <w:tc>
          <w:tcPr>
            <w:tcW w:type="dxa" w:w="374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End position</w:t>
            </w:r>
          </w:p>
        </w:tc>
      </w:tr>
      <w:tr>
        <w:trPr>
          <w:cantSplit/>
        </w:trPr>
        <w:tc>
          <w:tcPr>
            <w:tcW w:type="dxa" w:w="7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c>
          <w:tcPr>
            <w:tcW w:type="dxa" w:w="50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Upload or manually create persona → search → save contact → write letter → preview and save draft</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Persona, contact, and draft persistence</w:t>
            </w:r>
          </w:p>
        </w:tc>
      </w:tr>
      <w:tr>
        <w:trPr>
          <w:cantSplit/>
        </w:trPr>
        <w:tc>
          <w:tcPr>
            <w:tcW w:type="dxa" w:w="79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P2</w:t>
            </w:r>
          </w:p>
        </w:tc>
        <w:tc>
          <w:tcPr>
            <w:tcW w:type="dxa" w:w="50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Login → multiple Gmail → pre-check → test/send single email in test/formal/scheduled mode</w:t>
            </w:r>
          </w:p>
        </w:tc>
        <w:tc>
          <w:tcPr>
            <w:tcW w:type="dxa" w:w="37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Two-user isolation</w:t>
            </w:r>
          </w:p>
        </w:tc>
      </w:tr>
      <w:tr>
        <w:trPr>
          <w:cantSplit/>
        </w:trPr>
        <w:tc>
          <w:tcPr>
            <w:tcW w:type="dxa" w:w="7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P3</w:t>
            </w:r>
          </w:p>
        </w:tc>
        <w:tc>
          <w:tcPr>
            <w:tcW w:type="dxa" w:w="50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Synchronize emails → original thread reply → create reminder → active follow-up</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Real reply synchronization</w:t>
            </w:r>
          </w:p>
        </w:tc>
      </w:tr>
      <w:tr>
        <w:trPr>
          <w:cantSplit/>
        </w:trPr>
        <w:tc>
          <w:tcPr>
            <w:tcW w:type="dxa" w:w="79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P4</w:t>
            </w:r>
          </w:p>
        </w:tc>
        <w:tc>
          <w:tcPr>
            <w:tcW w:type="dxa" w:w="50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Template → preview per person → batch approve → activity control → statistics</w:t>
            </w:r>
          </w:p>
        </w:tc>
        <w:tc>
          <w:tcPr>
            <w:tcW w:type="dxa" w:w="37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Per-person sending, cancel effect, metric definitions are verifiable</w:t>
            </w:r>
          </w:p>
        </w:tc>
      </w:tr>
    </w:tbl>
    <w:p/>
    <w:p>
      <w:pPr>
        <w:pStyle w:val="Heading2"/>
      </w:pPr>
      <w:r>
        <w:t>How to Use This Delivery Package</w:t>
      </w:r>
    </w:p>
    <w:p>
      <w:r>
        <w:t>Word is the design basis for product and engineering; HTML is an interactive offline demo, with all names and data as fictional examples; XLSX is a functional ledger with requirement ID, dependencies, and acceptance criteria; four Markdown prompts are used for incremental development in the same codebase. 'Not Started' in the feature table means the product is not yet developed, and does not indicate that design work is incomplete.</w:t>
      </w:r>
    </w:p>
    <w:p>
      <w:r>
        <w:t>This version includes 58 features across four phases, 9 pending tasks for Soon administrator backend, and 22 acceptance scenarios. Page width, generation length, and polling frequency are suggested default values that can be adjusted during development; scope and 'Do Not Automatically Send Next Email' behavior are confirmed constraints.</w:t>
      </w:r>
    </w:p>
    <w:p>
      <w:r>
        <w:br w:type="page"/>
      </w:r>
    </w:p>
    <w:p>
      <w:pPr>
        <w:pStyle w:val="Heading1"/>
      </w:pPr>
      <w:r>
        <w:t>01 Information Architecture and Workbench Layout</w:t>
      </w:r>
    </w:p>
    <w:p>
      <w:r>
        <w:t>Page organization centers around independently usable modules. Users do not need to start from Dashboard or upload a resume to search or handwrite an email. Finance page aggregates relevant entries and activities, without maintaining a second set of contacts or drafts.</w:t>
      </w:r>
    </w:p>
    <w:tbl>
      <w:tblPr>
        <w:tblW w:type="auto" w:w="0"/>
        <w:jc w:val="center"/>
        <w:tblLayout w:type="fixed"/>
        <w:tblLook w:firstColumn="1" w:firstRow="1" w:lastColumn="0" w:lastRow="0" w:noHBand="0" w:noVBand="1" w:val="04A0"/>
      </w:tblPr>
      <w:tblGrid>
        <w:gridCol w:w="1584"/>
        <w:gridCol w:w="2736"/>
        <w:gridCol w:w="5256"/>
      </w:tblGrid>
      <w:tr>
        <w:trPr>
          <w:tblHeader/>
          <w:cantSplit/>
        </w:trPr>
        <w:tc>
          <w:tcPr>
            <w:tcW w:type="dxa" w:w="158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Region</w:t>
            </w:r>
          </w:p>
        </w:tc>
        <w:tc>
          <w:tcPr>
            <w:tcW w:type="dxa" w:w="273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Desktop suggestions</w:t>
            </w:r>
          </w:p>
        </w:tc>
        <w:tc>
          <w:tcPr>
            <w:tcW w:type="dxa" w:w="525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Interaction rules</w:t>
            </w:r>
          </w:p>
        </w:tc>
      </w:tr>
      <w:tr>
        <w:trPr>
          <w:cantSplit/>
        </w:trPr>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Left navigation</w:t>
            </w:r>
          </w:p>
        </w:tc>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About 216 px, collapsible</w:t>
            </w:r>
          </w:p>
        </w:tc>
        <w:tc>
          <w:tcPr>
            <w:tcW w:type="dxa" w:w="52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Current page highlighted; future modules show Coming Soon</w:t>
            </w:r>
          </w:p>
        </w:tc>
      </w:tr>
      <w:tr>
        <w:trPr>
          <w:cantSplit/>
        </w:trPr>
        <w:tc>
          <w:tcPr>
            <w:tcW w:type="dxa" w:w="158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Top</w:t>
            </w:r>
          </w:p>
        </w:tc>
        <w:tc>
          <w:tcPr>
            <w:tcW w:type="dxa" w:w="273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About 64 px</w:t>
            </w:r>
          </w:p>
        </w:tc>
        <w:tc>
          <w:tcPr>
            <w:tcW w:type="dxa" w:w="525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Page title, domain, language, workspace; do not repeat all operations</w:t>
            </w:r>
          </w:p>
        </w:tc>
      </w:tr>
      <w:tr>
        <w:trPr>
          <w:cantSplit/>
        </w:trPr>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Main content area</w:t>
            </w:r>
          </w:p>
        </w:tc>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24 px margin, 8 px spacing baseline</w:t>
            </w:r>
          </w:p>
        </w:tc>
        <w:tc>
          <w:tcPr>
            <w:tcW w:type="dxa" w:w="52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Scrollable table pages; highlight email body in edit pages</w:t>
            </w:r>
          </w:p>
        </w:tc>
      </w:tr>
      <w:tr>
        <w:trPr>
          <w:cantSplit/>
        </w:trPr>
        <w:tc>
          <w:tcPr>
            <w:tcW w:type="dxa" w:w="158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Contact sidebar</w:t>
            </w:r>
          </w:p>
        </w:tc>
        <w:tc>
          <w:tcPr>
            <w:tcW w:type="dxa" w:w="273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About 300–340 px</w:t>
            </w:r>
          </w:p>
        </w:tc>
        <w:tc>
          <w:tcPr>
            <w:tcW w:type="dxa" w:w="525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View data and sources in place, so users don't lose search state</w:t>
            </w:r>
          </w:p>
        </w:tc>
      </w:tr>
      <w:tr>
        <w:trPr>
          <w:cantSplit/>
        </w:trPr>
        <w:tc>
          <w:tcPr>
            <w:tcW w:type="dxa" w:w="15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Narrow screen</w:t>
            </w:r>
          </w:p>
        </w:tc>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Collapse sidebar if less than about 1024 px</w:t>
            </w:r>
          </w:p>
        </w:tc>
        <w:tc>
          <w:tcPr>
            <w:tcW w:type="dxa" w:w="52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Single-column display; switch between data and edit areas, keeping draft</w:t>
            </w:r>
          </w:p>
        </w:tc>
      </w:tr>
    </w:tbl>
    <w:p/>
    <w:p>
      <w:pPr>
        <w:pStyle w:val="Heading2"/>
      </w:pPr>
      <w:r>
        <w:t>Navigation and Domains</w:t>
      </w:r>
    </w:p>
    <w:p>
      <w:r>
        <w:t>Overview includes Dashboard. Domains include Finance and Academic. Workspace includes People Search, Contacts, Email Studio, Templates, Campaigns, and Inbox. Management includes Mailboxes, Personas, Analytics, and Settings. Only Personas, Search, Contacts, and Edit are available in Phase 1; other page descriptions will be enabled in the respective phases.</w:t>
      </w:r>
    </w:p>
    <w:p>
      <w:pPr>
        <w:pStyle w:val="Heading2"/>
      </w:pPr>
      <w:r>
        <w:t>Page States</w:t>
      </w:r>
    </w:p>
    <w:p>
      <w:r>
        <w:t>Each page must cover loading, empty, error, partial, and ready states; external data modules have unconfigured and rate_limited. No email address prevents writing, only affects sending in Phase 2. Switching domains does not automatically delete filters or drafts, nor does it incorrectly assign Gmail sessions without a domain to Finance.</w:t>
      </w:r>
    </w:p>
    <w:p>
      <w:pPr>
        <w:pStyle w:val="Heading2"/>
      </w:pPr>
      <w:r>
        <w:t>Interface Language</w:t>
      </w:r>
    </w:p>
    <w:p>
      <w:r>
        <w:t>Default is English; Simplified Chinese switch covers main buttons, forms, validation messages, and empty states. User-entered names, notes, and body text are not translated with interface switching. Email language is saved in the writing Brief, used explicitly during generation, and rewritten by default.</w:t>
      </w:r>
    </w:p>
    <w:p>
      <w:r>
        <w:br w:type="page"/>
      </w:r>
    </w:p>
    <w:p>
      <w:pPr>
        <w:pStyle w:val="Heading1"/>
      </w:pPr>
      <w:r>
        <w:t>02 Resume to Contact</w:t>
      </w:r>
    </w:p>
    <w:p>
      <w:pPr>
        <w:pStyle w:val="Heading2"/>
      </w:pPr>
      <w:r>
        <w:t>Files and Persona</w:t>
      </w:r>
    </w:p>
    <w:p>
      <w:r>
        <w:t>Accepts text-based PDF/DOCX, recommended limit 10 MB. After upload, status is uploaded → parsing → needs_review → confirmed; failed is shown with reasons. Parsing provides suggested fields, education, work, and skills retain source fragments and page positions. After user edits, save immutable PersonaVersion, which subsequent AI tasks reference by specific version. Manual entry is provided when OCR is not supported, without showing blank parsing success.</w:t>
      </w:r>
    </w:p>
    <w:p>
      <w:r>
        <w:t>Persona includes identity, school/degree, experience/dates, skills, financial field, career goals, region, target organization/position, and contact intent. Supports multiple personas. File content does not automatically become an attachment; users select separately in Phase 2.</w:t>
      </w:r>
    </w:p>
    <w:p>
      <w:pPr>
        <w:pStyle w:val="Heading2"/>
      </w:pPr>
      <w:r>
        <w:t>Search and Enrichment</w:t>
      </w:r>
    </w:p>
    <w:p>
      <w:r>
        <w:t>Apollo provides structured people search and on-demand email enrichment; SerpAPI retrieves LinkedIn public profiles via Google, supplementing career background clues. Apollo's name, organization, or profile URL is used to locate LinkedIn; verified LinkedIn information assists Apollo matching and enrichment. Two sources are associated with the same Contact, separately retaining source, time, and conflicts. Search summary can only be marked as unverified clues, cannot automatically confirm the same person, overwrite fields, or be used for alumni statements. This is the target design for dual-source collaboration: current MVP still uses general Google queries, and has not yet implemented LinkedIn-targeted search, reverse matching, or automatic cross-verification.</w:t>
      </w:r>
    </w:p>
    <w:p>
      <w:r>
        <w:t>Search saves standardized SearchRun conditions, providers, and cursor. Each enrichment and AI recommendation limits result count; failures are recorded individually, cannot convert partial failures into overall success. Search page supports retaining filters, pagination, opening details, saving, and direct email writing. Without a Persona, show based on basic relevance, without creating personalized matching scores.</w:t>
      </w:r>
    </w:p>
    <w:p>
      <w:pPr>
        <w:pStyle w:val="Heading2"/>
      </w:pPr>
      <w:r>
        <w:t>Sources and Deduplication</w:t>
      </w:r>
    </w:p>
    <w:p>
      <w:r>
        <w:t>Facts are stored as SourceEvidence: fact_id, field, value, source_ref, retrieval time, evidence_status, and conflict_group. confirmed, inferred, unknown, and conflict are explainable categories, not model-generated percentage confidence levels. Prioritize deduplication using provider ID, clear email, or public profile identifier; same name only prompts candidates, cannot automatically merge.</w:t>
      </w:r>
    </w:p>
    <w:p>
      <w:r>
        <w:t>Missing email does not prevent saving contacts or creating drafts. Verified status from sources is independent of email delivery. Contacts can have multiple domain data; email history belongs to workspace and actual session in email.</w:t>
      </w:r>
    </w:p>
    <w:p>
      <w:r>
        <w:br w:type="page"/>
      </w:r>
    </w:p>
    <w:p>
      <w:pPr>
        <w:pStyle w:val="Heading1"/>
      </w:pPr>
      <w:r>
        <w:t>03 AI Writing Workbench</w:t>
      </w:r>
    </w:p>
    <w:p>
      <w:r>
        <w:t>Email Studio uses a layout of 'body first, evidence beside'. Users must be able to open the editor directly from contact details and see the current recipient and selected persona. Email writing phase does not require connecting an email.</w:t>
      </w:r>
    </w:p>
    <w:tbl>
      <w:tblPr>
        <w:tblW w:type="auto" w:w="0"/>
        <w:jc w:val="center"/>
        <w:tblLayout w:type="fixed"/>
        <w:tblLook w:firstColumn="1" w:firstRow="1" w:lastColumn="0" w:lastRow="0" w:noHBand="0" w:noVBand="1" w:val="04A0"/>
      </w:tblPr>
      <w:tblGrid>
        <w:gridCol w:w="1440"/>
        <w:gridCol w:w="3384"/>
        <w:gridCol w:w="4752"/>
      </w:tblGrid>
      <w:tr>
        <w:trPr>
          <w:tblHeader/>
          <w:cantSplit/>
        </w:trPr>
        <w:tc>
          <w:tcPr>
            <w:tcW w:type="dxa" w:w="144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Block</w:t>
            </w:r>
          </w:p>
        </w:tc>
        <w:tc>
          <w:tcPr>
            <w:tcW w:type="dxa" w:w="338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Content</w:t>
            </w:r>
          </w:p>
        </w:tc>
        <w:tc>
          <w:tcPr>
            <w:tcW w:type="dxa" w:w="4752"/>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Key actions</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Writing Brief</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Contact, persona, purpose, CTA, tone, length, language</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Modifications only affect the next generation, not the already written body</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Edit area</w:t>
            </w:r>
          </w:p>
        </w:tc>
        <w:tc>
          <w:tcPr>
            <w:tcW w:type="dxa" w:w="338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Subject, rich text, variables, word count, save status</w:t>
            </w:r>
          </w:p>
        </w:tc>
        <w:tc>
          <w:tcPr>
            <w:tcW w:type="dxa" w:w="475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Manual input prioritized; subject and body are saved together</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Evidence area</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Contact facts, user background, sources, pending confirmation items</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Checkable facts allowed for AI use; canceling removes them from generation</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AI suggestion area</w:t>
            </w:r>
          </w:p>
        </w:tc>
        <w:tc>
          <w:tcPr>
            <w:tcW w:type="dxa" w:w="338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Candidate subject/body, changes, and warnings</w:t>
            </w:r>
          </w:p>
        </w:tc>
        <w:tc>
          <w:tcPr>
            <w:tcW w:type="dxa" w:w="475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Generated results appear here; provide options to adopt, discard, or regenerate</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Preview area</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Real variable values, missing items, final plain text/HTML</w:t>
            </w:r>
          </w:p>
        </w:tc>
        <w:tc>
          <w:tcPr>
            <w:tcW w:type="dxa" w:w="47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Corresponds to specific contacts; Ready only means draft passed local checks</w:t>
            </w:r>
          </w:p>
        </w:tc>
      </w:tr>
    </w:tbl>
    <w:p/>
    <w:p>
      <w:pPr>
        <w:pStyle w:val="Heading2"/>
      </w:pPr>
      <w:r>
        <w:t>Writing Intent</w:t>
      </w:r>
    </w:p>
    <w:p>
      <w:r>
        <w:t>Default purpose is Networking; also provides Informational Interview and Recruiting. CTA defaults to a brief conversation request, which users can edit. English default word count is 90–140, which is a recommendation range, not a blocking threshold; for Chinese, character count is used, and spaces cannot be used to create 'words'. The first version retains a small amount of writing starting points, and the full CRUD template will be available in phase four.</w:t>
      </w:r>
    </w:p>
    <w:p>
      <w:pPr>
        <w:pStyle w:val="Heading2"/>
      </w:pPr>
      <w:r>
        <w:t>Interaction flow</w:t>
      </w:r>
    </w:p>
    <w:p>
      <w:r>
        <w:t>Select contact and persona → Check evidence → Set Brief → Generate suggestion → View candidates and warnings → Apply or Discard → Manual edit → Preview → Save/Copy. The interface allows skipping AI and writing directly. The Gmail button in the next phase is explicitly marked as 'Coming in phase 2', and cannot generate fake send events.</w:t>
      </w:r>
    </w:p>
    <w:p>
      <w:pPr>
        <w:pStyle w:val="Heading2"/>
      </w:pPr>
      <w:r>
        <w:t>Empty state and exceptions</w:t>
      </w:r>
    </w:p>
    <w:p>
      <w:r>
        <w:t>If there is no recipient, users can first write a general draft; if there is no persona, they can write manually, and a prompt is shown when generating personalized content due to insufficient background. API timeouts retain the current draft and allow retries. If users cancel generation, late results are not automatically applied; current edits are not lost due to page navigation or focus loss.</w:t>
      </w:r>
    </w:p>
    <w:p>
      <w:r>
        <w:br w:type="page"/>
      </w:r>
    </w:p>
    <w:p>
      <w:pPr>
        <w:pStyle w:val="Heading1"/>
      </w:pPr>
      <w:r>
        <w:t>04 Evidence-driven personalization</w:t>
      </w:r>
    </w:p>
    <w:p>
      <w:pPr>
        <w:pStyle w:val="Heading2"/>
      </w:pPr>
      <w:r>
        <w:t>What content is allowed to be written in the email</w:t>
      </w:r>
    </w:p>
    <w:p>
      <w:r>
        <w:t>The model can only use facts explicitly allowed in the current task. Contact company and position, and user experience come from different evidence records; common points must be supported by evidence from both sides. If school is unknown, do not write 'we are alumni'; if there is a conflict in public-profile evidence, users must first review or use a contact reason without conflict. Facts freely input by users can be saved as user_confirmed, but cannot be marked as externally verified.</w:t>
      </w:r>
    </w:p>
    <w:tbl>
      <w:tblPr>
        <w:tblW w:type="auto" w:w="0"/>
        <w:jc w:val="center"/>
        <w:tblLayout w:type="fixed"/>
        <w:tblLook w:firstColumn="1" w:firstRow="1" w:lastColumn="0" w:lastRow="0" w:noHBand="0" w:noVBand="1" w:val="04A0"/>
      </w:tblPr>
      <w:tblGrid>
        <w:gridCol w:w="1944"/>
        <w:gridCol w:w="3528"/>
        <w:gridCol w:w="4104"/>
      </w:tblGrid>
      <w:tr>
        <w:trPr>
          <w:tblHeader/>
          <w:cantSplit/>
        </w:trPr>
        <w:tc>
          <w:tcPr>
            <w:tcW w:type="dxa" w:w="194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Fact status</w:t>
            </w:r>
          </w:p>
        </w:tc>
        <w:tc>
          <w:tcPr>
            <w:tcW w:type="dxa" w:w="352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Default generation strategy</w:t>
            </w:r>
          </w:p>
        </w:tc>
        <w:tc>
          <w:tcPr>
            <w:tcW w:type="dxa" w:w="410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Interface actions</w:t>
            </w:r>
          </w:p>
        </w:tc>
      </w:tr>
      <w:tr>
        <w:trPr>
          <w:cantSplit/>
        </w:trP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confirmed</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Allowed; retain fact_id and source</w:t>
            </w:r>
          </w:p>
        </w:tc>
        <w:tc>
          <w:tcPr>
            <w:tcW w:type="dxa" w:w="41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View source, cancel use</w:t>
            </w:r>
          </w:p>
        </w:tc>
      </w:tr>
      <w:tr>
        <w:trPr>
          <w:cantSplit/>
        </w:trPr>
        <w:tc>
          <w:tcPr>
            <w:tcW w:type="dxa" w:w="19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user_confirmed</w:t>
            </w:r>
          </w:p>
        </w:tc>
        <w:tc>
          <w:tcPr>
            <w:tcW w:type="dxa" w:w="352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Allowed; explanation from user confirmation</w:t>
            </w:r>
          </w:p>
        </w:tc>
        <w:tc>
          <w:tcPr>
            <w:tcW w:type="dxa" w:w="410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Edit and record confirmation time</w:t>
            </w:r>
          </w:p>
        </w:tc>
      </w:tr>
      <w:tr>
        <w:trPr>
          <w:cantSplit/>
        </w:trP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inferred</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Not written as a definite statement</w:t>
            </w:r>
          </w:p>
        </w:tc>
        <w:tc>
          <w:tcPr>
            <w:tcW w:type="dxa" w:w="41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Prompt for evidence or reason to change contact</w:t>
            </w:r>
          </w:p>
        </w:tc>
      </w:tr>
      <w:tr>
        <w:trPr>
          <w:cantSplit/>
        </w:trPr>
        <w:tc>
          <w:tcPr>
            <w:tcW w:type="dxa" w:w="19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unknown</w:t>
            </w:r>
          </w:p>
        </w:tc>
        <w:tc>
          <w:tcPr>
            <w:tcW w:type="dxa" w:w="352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Not use</w:t>
            </w:r>
          </w:p>
        </w:tc>
        <w:tc>
          <w:tcPr>
            <w:tcW w:type="dxa" w:w="410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Fill in, set default, or omit</w:t>
            </w:r>
          </w:p>
        </w:tc>
      </w:tr>
      <w:tr>
        <w:trPr>
          <w:cantSplit/>
        </w:trP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conflict</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Pause using this item</w:t>
            </w:r>
          </w:p>
        </w:tc>
        <w:tc>
          <w:tcPr>
            <w:tcW w:type="dxa" w:w="41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Display conflicting values, let user confirm</w:t>
            </w:r>
          </w:p>
        </w:tc>
      </w:tr>
    </w:tbl>
    <w:p/>
    <w:p>
      <w:pPr>
        <w:pStyle w:val="Heading2"/>
      </w:pPr>
      <w:r>
        <w:t>Recommendation rationale and email statements</w:t>
      </w:r>
    </w:p>
    <w:p>
      <w:r>
        <w:t>Recommendation rationale can express that 'the other party's field is relevant to the target'; statements in the email involving 'you recently completed a transaction' must have corresponding evidence. If matching scores are added later, their meaning can only be relative matching, not a reply probability, and they cannot replace the source of facts.</w:t>
      </w:r>
    </w:p>
    <w:p>
      <w:pPr>
        <w:pStyle w:val="Heading2"/>
      </w:pPr>
      <w:r>
        <w:t>Citation display</w:t>
      </w:r>
    </w:p>
    <w:p>
      <w:r>
        <w:t>The product side displays a source tag for each fact, and users can expand it. The body of the email sent to contacts defaults to not inserting internal fact_id or technical tags. The fact mapping in the sent version is saved in GenerationRun/DraftRevision, which facilitates explanation or verification, and internal notes or unselected resume segments are not included in the email.</w:t>
      </w:r>
    </w:p>
    <w:p>
      <w:pPr>
        <w:pStyle w:val="Heading2"/>
      </w:pPr>
      <w:r>
        <w:t>Input safety boundaries</w:t>
      </w:r>
    </w:p>
    <w:p>
      <w:r>
        <w:t>Resumes, web pages, and received emails are all data passed to the model. The generation service does not have the authority to send emails; its output can only be candidate content. Schema validation and allowed fact sets can reduce errors, but cannot prove the model has no hallucinations. Final review is still required by users.</w:t>
      </w:r>
    </w:p>
    <w:p>
      <w:r>
        <w:br w:type="page"/>
      </w:r>
    </w:p>
    <w:p>
      <w:pPr>
        <w:pStyle w:val="Heading1"/>
      </w:pPr>
      <w:r>
        <w:t>05 Rewriting adoption and version control</w:t>
      </w:r>
    </w:p>
    <w:p>
      <w:pPr>
        <w:pStyle w:val="Heading2"/>
      </w:pPr>
      <w:r>
        <w:t>Avoid overwriting user edits</w:t>
      </w:r>
    </w:p>
    <w:p>
      <w:r>
        <w:t>Each generation submission includes base_revision, and the candidate returns generation_id. Users can continue writing during the waiting period. If the current revision is different, the candidate is marked as Outdated suggestion, the candidate remains readable, but direct replacement is disabled; users can regenerate or manually copy partial content. Cancelled and expired tasks cannot automatically change the body.</w:t>
      </w:r>
    </w:p>
    <w:p>
      <w:pPr>
        <w:pStyle w:val="Heading2"/>
      </w:pPr>
      <w:r>
        <w:t>Full suggestion and partial rewriting</w:t>
      </w:r>
    </w:p>
    <w:p>
      <w:r>
        <w:t>Full generation displays the current draft and the suggested draft. The first version at least clearly shows two versions of content, supporting Apply, Discard, and Undo; it can later be optimized to highlight paragraph differences. Partial rewriting requires a clear selection, submitting the selected text, range, and revision together. Shortening and tone adjustments are not allowed to add new facts; if no selection is made, prompt the user to select, and do not silently rewrite the entire draft.</w:t>
      </w:r>
    </w:p>
    <w:tbl>
      <w:tblPr>
        <w:tblW w:type="auto" w:w="0"/>
        <w:jc w:val="center"/>
        <w:tblLayout w:type="fixed"/>
        <w:tblLook w:firstColumn="1" w:firstRow="1" w:lastColumn="0" w:lastRow="0" w:noHBand="0" w:noVBand="1" w:val="04A0"/>
      </w:tblPr>
      <w:tblGrid>
        <w:gridCol w:w="1440"/>
        <w:gridCol w:w="3888"/>
        <w:gridCol w:w="4248"/>
      </w:tblGrid>
      <w:tr>
        <w:trPr>
          <w:tblHeader/>
          <w:cantSplit/>
        </w:trPr>
        <w:tc>
          <w:tcPr>
            <w:tcW w:type="dxa" w:w="144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Action</w:t>
            </w:r>
          </w:p>
        </w:tc>
        <w:tc>
          <w:tcPr>
            <w:tcW w:type="dxa" w:w="388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Save content</w:t>
            </w:r>
          </w:p>
        </w:tc>
        <w:tc>
          <w:tcPr>
            <w:tcW w:type="dxa" w:w="424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Impact on current draft</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Generate</w:t>
            </w:r>
          </w:p>
        </w:tc>
        <w:tc>
          <w:tcPr>
            <w:tcW w:type="dxa" w:w="38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Candidate, input snapshot, warning</w:t>
            </w:r>
          </w:p>
        </w:tc>
        <w:tc>
          <w:tcPr>
            <w:tcW w:type="dxa" w:w="42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No automatic modification</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Apply</w:t>
            </w:r>
          </w:p>
        </w:tc>
        <w:tc>
          <w:tcPr>
            <w:tcW w:type="dxa" w:w="388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New DraftRevision and source mapping</w:t>
            </w:r>
          </w:p>
        </w:tc>
        <w:tc>
          <w:tcPr>
            <w:tcW w:type="dxa" w:w="424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Explicitly replace selected content</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Discard</w:t>
            </w:r>
          </w:p>
        </w:tc>
        <w:tc>
          <w:tcPr>
            <w:tcW w:type="dxa" w:w="38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Candidate discard status</w:t>
            </w:r>
          </w:p>
        </w:tc>
        <w:tc>
          <w:tcPr>
            <w:tcW w:type="dxa" w:w="42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Stay the same</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Undo</w:t>
            </w:r>
          </w:p>
        </w:tc>
        <w:tc>
          <w:tcPr>
            <w:tcW w:type="dxa" w:w="388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Restore previous version as new revision</w:t>
            </w:r>
          </w:p>
        </w:tc>
        <w:tc>
          <w:tcPr>
            <w:tcW w:type="dxa" w:w="424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Do not delete history</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Manual edit</w:t>
            </w:r>
          </w:p>
        </w:tc>
        <w:tc>
          <w:tcPr>
            <w:tcW w:type="dxa" w:w="388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New body and revision</w:t>
            </w:r>
          </w:p>
        </w:tc>
        <w:tc>
          <w:tcPr>
            <w:tcW w:type="dxa" w:w="42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Mark changed evidence associations for review</w:t>
            </w:r>
          </w:p>
        </w:tc>
      </w:tr>
    </w:tbl>
    <w:p/>
    <w:p>
      <w:pPr>
        <w:pStyle w:val="Heading2"/>
      </w:pPr>
      <w:r>
        <w:t>Auto-save</w:t>
      </w:r>
    </w:p>
    <w:p>
      <w:r>
        <w:t>Save approximately one second after stopping input, with the interface showing Saving, Saved, Unsaved, or Conflict. PATCH uses expected_revision; on 409, retain the server version and local version, allowing users to choose or merge, without silent override via last-write-wins. Offline drafts can be temporarily saved locally, and explicitly restored upon reconnection; production data still uses server storage as the standard.</w:t>
      </w:r>
    </w:p>
    <w:p>
      <w:pPr>
        <w:pStyle w:val="Heading2"/>
      </w:pPr>
      <w:r>
        <w:t>Language and length</w:t>
      </w:r>
    </w:p>
    <w:p>
      <w:r>
        <w:t>Translate and Rewrite should be different operations: interface language switching does not translate the body. Rewriting continues using the email language, and switching the generation language only affects new suggestions. If length exceeds the target, show a suggestion, but do not discard important facts; missing variables are blocking items, while exceeding word count is a non-blocking reminder.</w:t>
      </w:r>
    </w:p>
    <w:p>
      <w:r>
        <w:br w:type="page"/>
      </w:r>
    </w:p>
    <w:p>
      <w:pPr>
        <w:pStyle w:val="Heading1"/>
      </w:pPr>
      <w:r>
        <w:t>06 Variable preview and AI output covenant</w:t>
      </w:r>
    </w:p>
    <w:p>
      <w:pPr>
        <w:pStyle w:val="Heading2"/>
      </w:pPr>
      <w:r>
        <w:t>Variable model</w:t>
      </w:r>
    </w:p>
    <w:p>
      <w:r>
        <w:t>Variables use a structured editor node, storing name, label, required, and optional fallback. The interface can reference Tiptap's node interaction method [S06], and business variable validation must be implemented separately. The original editor_json is the source of editing; the final HTML and plain_text are generated by the same renderer, and cannot use two separate replacement logics.</w:t>
      </w:r>
    </w:p>
    <w:p>
      <w:r>
        <w:t>first_name, company, title, school, sender_name, and custom.* are defined in a unified field registry. Unknown fields result in errors; empty required fields are listed as missing_variables. Fallbacks explicitly set by users can participate in previews, but unknowns cannot be converted into seemingly real schools or institutions. Use the final preview before copying; the original template still retains variable nodes.</w:t>
      </w:r>
    </w:p>
    <w:p>
      <w:pPr>
        <w:pStyle w:val="Heading2"/>
      </w:pPr>
      <w:r>
        <w:t>Generation input and output</w:t>
      </w:r>
    </w:p>
    <w:tbl>
      <w:tblPr>
        <w:tblW w:type="auto" w:w="0"/>
        <w:jc w:val="center"/>
        <w:tblLayout w:type="fixed"/>
        <w:tblLook w:firstColumn="1" w:firstRow="1" w:lastColumn="0" w:lastRow="0" w:noHBand="0" w:noVBand="1" w:val="04A0"/>
      </w:tblPr>
      <w:tblGrid>
        <w:gridCol w:w="2016"/>
        <w:gridCol w:w="4320"/>
        <w:gridCol w:w="3240"/>
      </w:tblGrid>
      <w:tr>
        <w:trPr>
          <w:tblHeader/>
          <w:cantSplit/>
        </w:trPr>
        <w:tc>
          <w:tcPr>
            <w:tcW w:type="dxa" w:w="201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Structure</w:t>
            </w:r>
          </w:p>
        </w:tc>
        <w:tc>
          <w:tcPr>
            <w:tcW w:type="dxa" w:w="432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Key fields</w:t>
            </w:r>
          </w:p>
        </w:tc>
        <w:tc>
          <w:tcPr>
            <w:tcW w:type="dxa" w:w="324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Constraints</w:t>
            </w:r>
          </w:p>
        </w:tc>
      </w:tr>
      <w:tr>
        <w:trPr>
          <w:cantSplit/>
        </w:trPr>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WritingBrief</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purpose / CTA / language / tone / length</w:t>
            </w:r>
          </w:p>
        </w:tc>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User intent, no automatic execution of external operations</w:t>
            </w:r>
          </w:p>
        </w:tc>
      </w:tr>
      <w:tr>
        <w:trPr>
          <w:cantSplit/>
        </w:trPr>
        <w:tc>
          <w:tcPr>
            <w:tcW w:type="dxa" w:w="201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GenerationInput</w:t>
            </w:r>
          </w:p>
        </w:tc>
        <w:tc>
          <w:tcPr>
            <w:tcW w:type="dxa" w:w="432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persona_version / contact / allowed_fact_ids / base_revision</w:t>
            </w:r>
          </w:p>
        </w:tc>
        <w:tc>
          <w:tcPr>
            <w:tcW w:type="dxa" w:w="32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Server reads and limits to current workspace</w:t>
            </w:r>
          </w:p>
        </w:tc>
      </w:tr>
      <w:tr>
        <w:trPr>
          <w:cantSplit/>
        </w:trPr>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GenerationOutput</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subject / body_blocks / claims / warnings / language</w:t>
            </w:r>
          </w:p>
        </w:tc>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Validate schema; illegal fields not written to body</w:t>
            </w:r>
          </w:p>
        </w:tc>
      </w:tr>
      <w:tr>
        <w:trPr>
          <w:cantSplit/>
        </w:trPr>
        <w:tc>
          <w:tcPr>
            <w:tcW w:type="dxa" w:w="201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Claim</w:t>
            </w:r>
          </w:p>
        </w:tc>
        <w:tc>
          <w:tcPr>
            <w:tcW w:type="dxa" w:w="432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text_range / fact_ids / support_status</w:t>
            </w:r>
          </w:p>
        </w:tc>
        <w:tc>
          <w:tcPr>
            <w:tcW w:type="dxa" w:w="32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References must be in allowed set; no source statement warning</w:t>
            </w:r>
          </w:p>
        </w:tc>
      </w:tr>
      <w:tr>
        <w:trPr>
          <w:cantSplit/>
        </w:trPr>
        <w:tc>
          <w:tcPr>
            <w:tcW w:type="dxa" w:w="201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PreviewResult</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subject / HTML / plain_text / missing_variables</w:t>
            </w:r>
          </w:p>
        </w:tc>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Deterministic rendering; Ready is unrelated to email delivery</w:t>
            </w:r>
          </w:p>
        </w:tc>
      </w:tr>
    </w:tbl>
    <w:p/>
    <w:p>
      <w:pPr>
        <w:pStyle w:val="Heading2"/>
      </w:pPr>
      <w:r>
        <w:t>Failures and retries</w:t>
      </w:r>
    </w:p>
    <w:p>
      <w:r>
        <w:t>Format errors can be fixed once with bounded repair; if still failed, return structured errors, and the original draft remains unchanged. 429 prompts rate limiting and uses bounded backoff; no credentials show Unconfigured. Writing requests can be retried but must be associated with request_id to avoid users generating indistinguishable candidates by repeated clicks. Logs record model, version, duration, status, and usage, without defaulting to recording full resumes, email bodies, or keys.</w:t>
      </w:r>
    </w:p>
    <w:p>
      <w:r>
        <w:t>Phase one allows HTTP wait-style generation and displays cancel/loading status; if streaming suggestions are introduced, incomplete content cannot be adopted. No need to build a general-purpose queue system for phase one.</w:t>
      </w:r>
    </w:p>
    <w:p>
      <w:r>
        <w:br w:type="page"/>
      </w:r>
    </w:p>
    <w:p>
      <w:pPr>
        <w:pStyle w:val="Heading1"/>
      </w:pPr>
      <w:r>
        <w:t>07 AI examples and acceptance samples</w:t>
      </w:r>
    </w:p>
    <w:p>
      <w:r>
        <w:t>The following names, organizations, resumes, and contact information are all fictional and used for product behavior demonstration, not corresponding to real search results. HTML demos use the same set of examples.</w:t>
      </w:r>
    </w:p>
    <w:p>
      <w:pPr>
        <w:pStyle w:val="Heading2"/>
      </w:pPr>
      <w:r>
        <w:t>Available facts</w:t>
      </w:r>
    </w:p>
    <w:p>
      <w:r>
        <w:t>User Alex Chen: MSc Finance; completed valuation research internship at fictional Northbridge Advisory; target is London Healthcare Investment Banking. Contact Maya Patel: Healthcare Investment Banking Associate at fictional Harborstone Capital; location is London; school unknown. Only facts from the above confirmed fields are allowed.</w:t>
      </w:r>
    </w:p>
    <w:p>
      <w:pPr>
        <w:pStyle w:val="Heading2"/>
      </w:pPr>
      <w:r>
        <w:t>Acceptable Email Example</w:t>
      </w:r>
    </w:p>
    <w:p>
      <w:r>
        <w:t>Subject: A brief question about healthcare investment banking</w:t>
      </w:r>
    </w:p>
    <w:p>
      <w:r>
        <w:t>Hi Maya,</w:t>
        <w:br/>
        <w:br/>
        <w:t>I am exploring healthcare investment banking roles in London and recently completed a valuation research internship at Northbridge Advisory. Your work as an associate in healthcare investment banking at Harborstone Capital is closely related to the direction I am considering.</w:t>
        <w:br/>
        <w:br/>
        <w:t>If you have time, I would appreciate a brief conversation about the skills that matter most in this area. I would be happy to work around your schedule.</w:t>
        <w:br/>
        <w:br/>
        <w:t>Best,</w:t>
        <w:br/>
        <w:t>Alex Chen</w:t>
      </w:r>
    </w:p>
    <w:p>
      <w:pPr>
        <w:pStyle w:val="Heading2"/>
      </w:pPr>
      <w:r>
        <w:t>Must Avoid Content</w:t>
      </w:r>
    </w:p>
    <w:p>
      <w:r>
        <w:t>‘As a fellow alumnus’ lacks evidence of both schools; ‘I loved your recent deal’ lacks transaction source; ‘I was referred by our mutual contact’ lacks authorized fact of a common contact. Such content cannot be accepted merely because it sounds personalized. When users request to add such content, prompt for evidence or change to a contact reason relevant to the field.</w:t>
      </w:r>
    </w:p>
    <w:p>
      <w:pPr>
        <w:pStyle w:val="Heading2"/>
      </w:pPr>
      <w:r>
        <w:t>Evaluation Criteria</w:t>
      </w:r>
    </w:p>
    <w:tbl>
      <w:tblPr>
        <w:tblW w:type="auto" w:w="0"/>
        <w:jc w:val="center"/>
        <w:tblLayout w:type="fixed"/>
        <w:tblLook w:firstColumn="1" w:firstRow="1" w:lastColumn="0" w:lastRow="0" w:noHBand="0" w:noVBand="1" w:val="04A0"/>
      </w:tblPr>
      <w:tblGrid>
        <w:gridCol w:w="3168"/>
        <w:gridCol w:w="6408"/>
      </w:tblGrid>
      <w:tr>
        <w:trPr>
          <w:tblHeader/>
          <w:cantSplit/>
        </w:trPr>
        <w:tc>
          <w:tcPr>
            <w:tcW w:type="dxa" w:w="316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Sample</w:t>
            </w:r>
          </w:p>
        </w:tc>
        <w:tc>
          <w:tcPr>
            <w:tcW w:type="dxa" w:w="640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Expected result</w:t>
            </w:r>
          </w:p>
        </w:tc>
      </w:tr>
      <w:tr>
        <w:trPr>
          <w:cantSplit/>
        </w:trPr>
        <w:tc>
          <w:tcPr>
            <w:tcW w:type="dxa" w:w="31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Missing school</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Still can write letter, no fabrication of alumni</w:t>
            </w:r>
          </w:p>
        </w:tc>
      </w:tr>
      <w:tr>
        <w:trPr>
          <w:cantSplit/>
        </w:trPr>
        <w:tc>
          <w:tcPr>
            <w:tcW w:type="dxa" w:w="316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User requests to add unverified transaction</w:t>
            </w:r>
          </w:p>
        </w:tc>
        <w:tc>
          <w:tcPr>
            <w:tcW w:type="dxa" w:w="640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Warn and choose an alternative sentence with basis</w:t>
            </w:r>
          </w:p>
        </w:tc>
      </w:tr>
      <w:tr>
        <w:trPr>
          <w:cantSplit/>
        </w:trPr>
        <w:tc>
          <w:tcPr>
            <w:tcW w:type="dxa" w:w="31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Body changes during generation</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Candidate expired, not overwrite</w:t>
            </w:r>
          </w:p>
        </w:tc>
      </w:tr>
      <w:tr>
        <w:trPr>
          <w:cantSplit/>
        </w:trPr>
        <w:tc>
          <w:tcPr>
            <w:tcW w:type="dxa" w:w="316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Model returns fake fact_id</w:t>
            </w:r>
          </w:p>
        </w:tc>
        <w:tc>
          <w:tcPr>
            <w:tcW w:type="dxa" w:w="640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Validation failure or remove candidate statement, hand over to user review</w:t>
            </w:r>
          </w:p>
        </w:tc>
      </w:tr>
      <w:tr>
        <w:trPr>
          <w:cantSplit/>
        </w:trPr>
        <w:tc>
          <w:tcPr>
            <w:tcW w:type="dxa" w:w="31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User has no resume</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Can handwrite; personalized generation prompt supplements background</w:t>
            </w:r>
          </w:p>
        </w:tc>
      </w:tr>
    </w:tbl>
    <w:p/>
    <w:p>
      <w:r>
        <w:br w:type="page"/>
      </w:r>
    </w:p>
    <w:p>
      <w:pPr>
        <w:pStyle w:val="Heading1"/>
      </w:pPr>
      <w:r>
        <w:t>08 Data Relationships and Lifecycle</w:t>
      </w:r>
    </w:p>
    <w:p>
      <w:r>
        <w:t>The server always operates within the scope of a Workspace. The first phase is a local fixed workspace only, the second phase introduces real users and Membership; data ownership cannot be added after email integration. Multiple real emails belong to the same person's workspace, and team roles are only reserved.</w:t>
      </w:r>
    </w:p>
    <w:tbl>
      <w:tblPr>
        <w:tblW w:type="auto" w:w="0"/>
        <w:jc w:val="center"/>
        <w:tblLayout w:type="fixed"/>
        <w:tblLook w:firstColumn="1" w:firstRow="1" w:lastColumn="0" w:lastRow="0" w:noHBand="0" w:noVBand="1" w:val="04A0"/>
      </w:tblPr>
      <w:tblGrid>
        <w:gridCol w:w="1440"/>
        <w:gridCol w:w="6408"/>
        <w:gridCol w:w="1728"/>
      </w:tblGrid>
      <w:tr>
        <w:trPr>
          <w:tblHeader/>
          <w:cantSplit/>
        </w:trPr>
        <w:tc>
          <w:tcPr>
            <w:tcW w:type="dxa" w:w="144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Entity group</w:t>
            </w:r>
          </w:p>
        </w:tc>
        <w:tc>
          <w:tcPr>
            <w:tcW w:type="dxa" w:w="640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Main relationship</w:t>
            </w:r>
          </w:p>
        </w:tc>
        <w:tc>
          <w:tcPr>
            <w:tcW w:type="dxa" w:w="1728"/>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Phase</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Identity</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User → Membership → Workspace; Mailbox belongs to Workspace</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 belongs to P2 authentication</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Persona</w:t>
            </w:r>
          </w:p>
        </w:tc>
        <w:tc>
          <w:tcPr>
            <w:tcW w:type="dxa" w:w="640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Persona → PersonaVersion → UploadedDocument/SourceEvidence</w:t>
            </w:r>
          </w:p>
        </w:tc>
        <w:tc>
          <w:tcPr>
            <w:tcW w:type="dxa" w:w="172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Contact</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Contact → ContactEmail / ContactDomainProfile; many-to-many list</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Matching</w:t>
            </w:r>
          </w:p>
        </w:tc>
        <w:tc>
          <w:tcPr>
            <w:tcW w:type="dxa" w:w="640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MatchAssessment → PersonaVersion + Contact + SearchRun</w:t>
            </w:r>
          </w:p>
        </w:tc>
        <w:tc>
          <w:tcPr>
            <w:tcW w:type="dxa" w:w="172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Writing</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Draft → DraftRevision; GenerationRun references input and candidates</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Send</w:t>
            </w:r>
          </w:p>
        </w:tc>
        <w:tc>
          <w:tcPr>
            <w:tcW w:type="dxa" w:w="640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SendJob → frozen content + Mailbox; SendAttempt records each submission</w:t>
            </w:r>
          </w:p>
        </w:tc>
        <w:tc>
          <w:tcPr>
            <w:tcW w:type="dxa" w:w="172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P2</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Session</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Mailbox → Thread → Message; associates Contact and domain</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P3</w:t>
            </w:r>
          </w:p>
        </w:tc>
      </w:tr>
      <w:tr>
        <w:trPr>
          <w:cantSplit/>
        </w:trPr>
        <w:tc>
          <w:tcPr>
            <w:tcW w:type="dxa" w:w="14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Follow-up</w:t>
            </w:r>
          </w:p>
        </w:tc>
        <w:tc>
          <w:tcPr>
            <w:tcW w:type="dxa" w:w="640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FollowUpTask → Contact / Thread, does not derive automated email</w:t>
            </w:r>
          </w:p>
        </w:tc>
        <w:tc>
          <w:tcPr>
            <w:tcW w:type="dxa" w:w="1728"/>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P3</w:t>
            </w:r>
          </w:p>
        </w:tc>
      </w:tr>
      <w:tr>
        <w:trPr>
          <w:cantSplit/>
        </w:trPr>
        <w:tc>
          <w:tcPr>
            <w:tcW w:type="dxa" w:w="14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Activity</w:t>
            </w:r>
          </w:p>
        </w:tc>
        <w:tc>
          <w:tcPr>
            <w:tcW w:type="dxa" w:w="64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Campaign → CampaignRecipient → SendJob</w:t>
            </w:r>
          </w:p>
        </w:tc>
        <w:tc>
          <w:tcPr>
            <w:tcW w:type="dxa" w:w="17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P4</w:t>
            </w:r>
          </w:p>
        </w:tc>
      </w:tr>
    </w:tbl>
    <w:p/>
    <w:p>
      <w:pPr>
        <w:pStyle w:val="Heading2"/>
      </w:pPr>
      <w:r>
        <w:t>Immutable and Mutable Data</w:t>
      </w:r>
    </w:p>
    <w:p>
      <w:r>
        <w:t>Persona version, approved send snapshots, and provider message ID are not rewritten with template or contact updates. Contact profile information can be updated, but the company name used in old emails is retained in the snapshot at the time. Whether to retain or clear derived evidence when deleting source files is explicitly prompted by the deletion process; do not inadvertently break email audit by deleting database rows.</w:t>
      </w:r>
    </w:p>
    <w:p>
      <w:pPr>
        <w:pStyle w:val="Heading2"/>
      </w:pPr>
      <w:r>
        <w:t>State Separation</w:t>
      </w:r>
    </w:p>
    <w:p>
      <w:r>
        <w:t>Draft's editing/ready differs from Save's saving/saved/conflict; SendJob's queued/sending/sent/unknown differs from Contact's uncontacted/contacted/replied; Mailbox's connected/reauth_required/disconnected are independent. Status changes are saved with reason and time, avoiding one column of status carrying all meanings.</w:t>
      </w:r>
    </w:p>
    <w:p>
      <w:r>
        <w:br w:type="page"/>
      </w:r>
    </w:p>
    <w:p>
      <w:pPr>
        <w:pStyle w:val="Heading1"/>
      </w:pPr>
      <w:r>
        <w:t>09 Technical Architecture and Phased Integration</w:t>
      </w:r>
    </w:p>
    <w:p>
      <w:r>
        <w:t>Frontend uses Next.js, business services use FastAPI and PostgreSQL. Frontend does not connect directly to providers or databases. Default modular monolith, no Redis in phase one; Redis, Worker, and reliable task records are added in phase two due to scheduled sending.</w:t>
      </w:r>
    </w:p>
    <w:tbl>
      <w:tblPr>
        <w:tblW w:type="auto" w:w="0"/>
        <w:jc w:val="center"/>
        <w:tblLayout w:type="fixed"/>
        <w:tblLook w:firstColumn="1" w:firstRow="1" w:lastColumn="0" w:lastRow="0" w:noHBand="0" w:noVBand="1" w:val="04A0"/>
      </w:tblPr>
      <w:tblGrid>
        <w:gridCol w:w="2160"/>
        <w:gridCol w:w="5760"/>
        <w:gridCol w:w="1656"/>
      </w:tblGrid>
      <w:tr>
        <w:trPr>
          <w:tblHeader/>
          <w:cantSplit/>
        </w:trPr>
        <w:tc>
          <w:tcPr>
            <w:tcW w:type="dxa" w:w="216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Layer</w:t>
            </w:r>
          </w:p>
        </w:tc>
        <w:tc>
          <w:tcPr>
            <w:tcW w:type="dxa" w:w="576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Responsibility</w:t>
            </w:r>
          </w:p>
        </w:tc>
        <w:tc>
          <w:tcPr>
            <w:tcW w:type="dxa" w:w="165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Access Time</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Browser / Next.js</w:t>
            </w:r>
          </w:p>
        </w:tc>
        <w:tc>
          <w:tcPr>
            <w:tcW w:type="dxa" w:w="57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Pages, editor, i18n, preview interaction; does not save credentials</w:t>
            </w:r>
          </w:p>
        </w:tc>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21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FastAPI Core</w:t>
            </w:r>
          </w:p>
        </w:tc>
        <w:tc>
          <w:tcPr>
            <w:tcW w:type="dxa" w:w="57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Ownership validation, Persona, Contact, Draft, variable rendering</w:t>
            </w:r>
          </w:p>
        </w:tc>
        <w:tc>
          <w:tcPr>
            <w:tcW w:type="dxa" w:w="165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Finance Services</w:t>
            </w:r>
          </w:p>
        </w:tc>
        <w:tc>
          <w:tcPr>
            <w:tcW w:type="dxa" w:w="57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Query normalization, evidence, recommendations, and writing orchestration</w:t>
            </w:r>
          </w:p>
        </w:tc>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21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Provider Adapters</w:t>
            </w:r>
          </w:p>
        </w:tc>
        <w:tc>
          <w:tcPr>
            <w:tcW w:type="dxa" w:w="57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Apollo contacts and emails; SerpAPI's LinkedIn public retrieval; AI writing</w:t>
            </w:r>
          </w:p>
        </w:tc>
        <w:tc>
          <w:tcPr>
            <w:tcW w:type="dxa" w:w="165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PostgreSQL / Files</w:t>
            </w:r>
          </w:p>
        </w:tc>
        <w:tc>
          <w:tcPr>
            <w:tcW w:type="dxa" w:w="57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Business facts, versions, tasks; private file storage</w:t>
            </w:r>
          </w:p>
        </w:tc>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r>
      <w:tr>
        <w:trPr>
          <w:cantSplit/>
        </w:trPr>
        <w:tc>
          <w:tcPr>
            <w:tcW w:type="dxa" w:w="21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Auth / Gmail Adapter</w:t>
            </w:r>
          </w:p>
        </w:tc>
        <w:tc>
          <w:tcPr>
            <w:tcW w:type="dxa" w:w="57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Platform session, multi-mailbox OAuth, sending identity</w:t>
            </w:r>
          </w:p>
        </w:tc>
        <w:tc>
          <w:tcPr>
            <w:tcW w:type="dxa" w:w="165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P2</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Redis / Worker</w:t>
            </w:r>
          </w:p>
        </w:tc>
        <w:tc>
          <w:tcPr>
            <w:tcW w:type="dxa" w:w="57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Task wake-up and execution; PostgreSQL stores authoritative state</w:t>
            </w:r>
          </w:p>
        </w:tc>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P2</w:t>
            </w:r>
          </w:p>
        </w:tc>
      </w:tr>
      <w:tr>
        <w:trPr>
          <w:cantSplit/>
        </w:trPr>
        <w:tc>
          <w:tcPr>
            <w:tcW w:type="dxa" w:w="21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Mail Sync / FollowUp</w:t>
            </w:r>
          </w:p>
        </w:tc>
        <w:tc>
          <w:tcPr>
            <w:tcW w:type="dxa" w:w="576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Cursor synchronization, reply association, platform reminders</w:t>
            </w:r>
          </w:p>
        </w:tc>
        <w:tc>
          <w:tcPr>
            <w:tcW w:type="dxa" w:w="165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P3</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Campaign / Analytics</w:t>
            </w:r>
          </w:p>
        </w:tc>
        <w:tc>
          <w:tcPr>
            <w:tcW w:type="dxa" w:w="57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Per-person approval, activity control, event statistics</w:t>
            </w:r>
          </w:p>
        </w:tc>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P4</w:t>
            </w:r>
          </w:p>
        </w:tc>
      </w:tr>
    </w:tbl>
    <w:p/>
    <w:p>
      <w:pPr>
        <w:pStyle w:val="Heading2"/>
      </w:pPr>
      <w:r>
        <w:t>One Writing Request</w:t>
      </w:r>
    </w:p>
    <w:p>
      <w:r>
        <w:t>Browser submits Brief, contact ID, and persona version → API validates workspace → reads allowed facts → AIProvider generates structured suggestions → server validates references and variables → saves GenerationRun → returns suggestions area → user adopts → saves DraftRevision. The model has no permission to send emails along this path.</w:t>
      </w:r>
    </w:p>
    <w:p>
      <w:pPr>
        <w:pStyle w:val="Heading2"/>
      </w:pPr>
      <w:r>
        <w:t>One Scheduled Send</w:t>
      </w:r>
    </w:p>
    <w:p>
      <w:r>
        <w:t>User previews and approves → database transaction writes snapshot and SendJob → Worker periodically scans database expired tasks/consumes queue → rechecks email, window, cancellation, and blocking → records SendAttempt → Gmail submission → saves provider ID or unknown. Queue notifications outside of transaction can be recovered by scanning, and Redis is not the sole source.</w:t>
      </w:r>
    </w:p>
    <w:p>
      <w:r>
        <w:br w:type="page"/>
      </w:r>
    </w:p>
    <w:p>
      <w:pPr>
        <w:pStyle w:val="Heading1"/>
      </w:pPr>
      <w:r>
        <w:t>10 Core Interfaces and Error Contracts</w:t>
      </w:r>
    </w:p>
    <w:p>
      <w:r>
        <w:t>The following are implementation suggestions, not third-party endpoints that exist. External interfaces share request_id, error code, user-readable message, and optional field_errors. Backend retrieves workspace from session, cannot trust client-provided workspace_id.</w:t>
      </w:r>
    </w:p>
    <w:tbl>
      <w:tblPr>
        <w:tblW w:type="auto" w:w="0"/>
        <w:jc w:val="center"/>
        <w:tblLayout w:type="fixed"/>
        <w:tblLook w:firstColumn="1" w:firstRow="1" w:lastColumn="0" w:lastRow="0" w:noHBand="0" w:noVBand="1" w:val="04A0"/>
      </w:tblPr>
      <w:tblGrid>
        <w:gridCol w:w="3240"/>
        <w:gridCol w:w="3744"/>
        <w:gridCol w:w="2592"/>
      </w:tblGrid>
      <w:tr>
        <w:trPr>
          <w:tblHeader/>
          <w:cantSplit/>
        </w:trPr>
        <w:tc>
          <w:tcPr>
            <w:tcW w:type="dxa" w:w="324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Interface</w:t>
            </w:r>
          </w:p>
        </w:tc>
        <w:tc>
          <w:tcPr>
            <w:tcW w:type="dxa" w:w="374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Input and Output</w:t>
            </w:r>
          </w:p>
        </w:tc>
        <w:tc>
          <w:tcPr>
            <w:tcW w:type="dxa" w:w="2592"/>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Rules</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/people/search</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filters/cursor → people/next_cursor/capabilities</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Explicitly unsupported filtering</w:t>
            </w:r>
          </w:p>
        </w:tc>
      </w:tr>
      <w:tr>
        <w:trPr>
          <w:cantSplit/>
        </w:trPr>
        <w:tc>
          <w:tcPr>
            <w:tcW w:type="dxa" w:w="32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/people/enrich</w:t>
            </w:r>
          </w:p>
        </w:tc>
        <w:tc>
          <w:tcPr>
            <w:tcW w:type="dxa" w:w="37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ids/fields → per_item_status</w:t>
            </w:r>
          </w:p>
        </w:tc>
        <w:tc>
          <w:tcPr>
            <w:tcW w:type="dxa" w:w="259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Limited batching and on-demand invocation</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/writing/generations</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Brief/fact_ids/revision → candidate/warnings</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Record source and version</w:t>
            </w:r>
          </w:p>
        </w:tc>
      </w:tr>
      <w:tr>
        <w:trPr>
          <w:cantSplit/>
        </w:trPr>
        <w:tc>
          <w:tcPr>
            <w:tcW w:type="dxa" w:w="32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PATCH /drafts/{id}</w:t>
            </w:r>
          </w:p>
        </w:tc>
        <w:tc>
          <w:tcPr>
            <w:tcW w:type="dxa" w:w="37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expected_revision/editor_json → revision</w:t>
            </w:r>
          </w:p>
        </w:tc>
        <w:tc>
          <w:tcPr>
            <w:tcW w:type="dxa" w:w="259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409 preserves both contents</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/drafts/{id}/preview</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recipient/revision → render/missing</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Unified variable renderer</w:t>
            </w:r>
          </w:p>
        </w:tc>
      </w:tr>
      <w:tr>
        <w:trPr>
          <w:cantSplit/>
        </w:trPr>
        <w:tc>
          <w:tcPr>
            <w:tcW w:type="dxa" w:w="32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/send-jobs</w:t>
            </w:r>
          </w:p>
        </w:tc>
        <w:tc>
          <w:tcPr>
            <w:tcW w:type="dxa" w:w="37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snapshot/mailbox/send_at → job</w:t>
            </w:r>
          </w:p>
        </w:tc>
        <w:tc>
          <w:tcPr>
            <w:tcW w:type="dxa" w:w="259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Idempotent; Phase 2 enabled</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/mailboxes/{id}/sync</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Persistent cursor → sync_run</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Phase 3; recover observability</w:t>
            </w:r>
          </w:p>
        </w:tc>
      </w:tr>
      <w:tr>
        <w:trPr>
          <w:cantSplit/>
        </w:trPr>
        <w:tc>
          <w:tcPr>
            <w:tcW w:type="dxa" w:w="324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/follow-up-tasks</w:t>
            </w:r>
          </w:p>
        </w:tc>
        <w:tc>
          <w:tcPr>
            <w:tcW w:type="dxa" w:w="374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contact/thread/due_at → task</w:t>
            </w:r>
          </w:p>
        </w:tc>
        <w:tc>
          <w:tcPr>
            <w:tcW w:type="dxa" w:w="259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Only remind, no sending</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POST /campaigns/{id}/approve</w:t>
            </w:r>
          </w:p>
        </w:tc>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Review version and per-person snapshot → jobs</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Phase 4; per-person pre-check</w:t>
            </w:r>
          </w:p>
        </w:tc>
      </w:tr>
    </w:tbl>
    <w:p/>
    <w:p>
      <w:pPr>
        <w:pStyle w:val="Heading2"/>
      </w:pPr>
      <w:r>
        <w:t>Error Classification</w:t>
      </w:r>
    </w:p>
    <w:p>
      <w:r>
        <w:t>VALIDATION_ERROR indicates missing fields; REVISION_CONFLICT indicates draft or review snapshot is outdated; PROVIDER_UNCONFIGURED indicates configuration is required; PROVIDER_FORBIDDEN and RATE_LIMITED should not be mixed; GENERATION_INVALID preserves the original draft; MAILBOX_REAUTH_REQUIRED pauses related tasks; SEND_OUTCOME_UNKNOWN redirects to verification. Server logs can locate request_id, but do not default record sensitive content.</w:t>
      </w:r>
    </w:p>
    <w:p>
      <w:pPr>
        <w:pStyle w:val="Heading2"/>
      </w:pPr>
      <w:r>
        <w:t>Academic Contract</w:t>
      </w:r>
    </w:p>
    <w:p>
      <w:r>
        <w:t>MentorDataProvider.search(criteria, cursor) and get(id) return unified Mentor, SourceEvidence, pagination, and capabilities. JSONL, SQLite, Postgres, and External are registered to the same factory. Phase four delivers only structure and contract testing, returns Unavailable when no provider is implemented, and does not use fake databases to replace real data.</w:t>
      </w:r>
    </w:p>
    <w:p>
      <w:r>
        <w:br w:type="page"/>
      </w:r>
    </w:p>
    <w:p>
      <w:pPr>
        <w:pStyle w:val="Heading1"/>
      </w:pPr>
      <w:r>
        <w:t>11 Phase Two Email and Sending Design</w:t>
      </w:r>
    </w:p>
    <w:p>
      <w:pPr>
        <w:pStyle w:val="Heading2"/>
      </w:pPr>
      <w:r>
        <w:t>Login and Authorization</w:t>
      </w:r>
    </w:p>
    <w:p>
      <w:r>
        <w:t>Google platform login handles 'who you are'; Gmail OAuth handles 'which email the platform is allowed to access'. One user can connect multiple Gmail mailboxes with different login addresses. Phase two must complete identity and workspace isolation before integrating real emails; phase one local data is only migrated after clear ownership process.</w:t>
      </w:r>
    </w:p>
    <w:p>
      <w:r>
        <w:t>OAuth credentials are encrypted on the server, state is bound to session, and PKCE is used per applicable process. Disconnection stops synchronization and un-sent tasks, and clears unused authorization credentials. Permissions are applied based on actual read/write needs, and validation requirements for public applications are recorded separately from local testing [S03]. Platform signing does not rewrite Gmail native settings.</w:t>
      </w:r>
    </w:p>
    <w:p>
      <w:pPr>
        <w:pStyle w:val="Heading2"/>
      </w:pPr>
      <w:r>
        <w:t>Pre-check and Confirmation</w:t>
      </w:r>
    </w:p>
    <w:p>
      <w:r>
        <w:t>User confirms actual email, recipient, subject, body, variables, signature, and attachments. Sends snapshot record content revision, recipient address, and approval time. Test sends default to the user's own specified address; contacts are only used for rendering variables; testing cannot update the formal delivery status. Unverified or unknown emails are not automatically marked as safe; known hard bounces and prohibited sending addresses are blocked.</w:t>
      </w:r>
    </w:p>
    <w:p>
      <w:pPr>
        <w:pStyle w:val="Heading2"/>
      </w:pPr>
      <w:r>
        <w:t>Task Reliability</w:t>
      </w:r>
    </w:p>
    <w:p>
      <w:r>
        <w:t>Client submits an idempotency key; database constraints and locks prevent duplicate tasks. Gmail requests are not assumed to support business idempotency keys; network timeouts may indicate the message has been sent, so it enters unknown status. Next steps are decided only after checking provider records or manual verification. The system does not guarantee exactly-once delivery externally. 'Sent' indicates the provider accepted it, not that it was delivered or read.</w:t>
      </w:r>
    </w:p>
    <w:tbl>
      <w:tblPr>
        <w:tblW w:type="auto" w:w="0"/>
        <w:jc w:val="center"/>
        <w:tblLayout w:type="fixed"/>
        <w:tblLook w:firstColumn="1" w:firstRow="1" w:lastColumn="0" w:lastRow="0" w:noHBand="0" w:noVBand="1" w:val="04A0"/>
      </w:tblPr>
      <w:tblGrid>
        <w:gridCol w:w="2880"/>
        <w:gridCol w:w="6696"/>
      </w:tblGrid>
      <w:tr>
        <w:trPr>
          <w:tblHeader/>
          <w:cantSplit/>
        </w:trPr>
        <w:tc>
          <w:tcPr>
            <w:tcW w:type="dxa" w:w="288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Scenario</w:t>
            </w:r>
          </w:p>
        </w:tc>
        <w:tc>
          <w:tcPr>
            <w:tcW w:type="dxa" w:w="669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System behavior</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Authorization expiration</w:t>
            </w:r>
          </w:p>
        </w:tc>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Refresh or request reauthorization; pause related tasks</w:t>
            </w:r>
          </w:p>
        </w:tc>
      </w:tr>
      <w:tr>
        <w:trPr>
          <w:cantSplit/>
        </w:trPr>
        <w:tc>
          <w:tcPr>
            <w:tcW w:type="dxa" w:w="288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Rate limiting and temporary failures</w:t>
            </w:r>
          </w:p>
        </w:tc>
        <w:tc>
          <w:tcPr>
            <w:tcW w:type="dxa" w:w="669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Bounded backoff, retain attempt records</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Non-sending period</w:t>
            </w:r>
          </w:p>
        </w:tc>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Move to next legal window by email timezone</w:t>
            </w:r>
          </w:p>
        </w:tc>
      </w:tr>
      <w:tr>
        <w:trPr>
          <w:cantSplit/>
        </w:trPr>
        <w:tc>
          <w:tcPr>
            <w:tcW w:type="dxa" w:w="288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Cancellation and disconnection</w:t>
            </w:r>
          </w:p>
        </w:tc>
        <w:tc>
          <w:tcPr>
            <w:tcW w:type="dxa" w:w="669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Recheck before actual submission; submitted messages cannot pretend to be revoked</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Response timeout result unknown</w:t>
            </w:r>
          </w:p>
        </w:tc>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Stop blind retries, enter verification process</w:t>
            </w:r>
          </w:p>
        </w:tc>
      </w:tr>
    </w:tbl>
    <w:p/>
    <w:p>
      <w:r>
        <w:br w:type="page"/>
      </w:r>
    </w:p>
    <w:p>
      <w:pPr>
        <w:pStyle w:val="Heading1"/>
      </w:pPr>
      <w:r>
        <w:t>12 Inbox and Manual Follow-Up (Phase 3)</w:t>
      </w:r>
    </w:p>
    <w:p>
      <w:pPr>
        <w:pStyle w:val="Heading2"/>
      </w:pPr>
      <w:r>
        <w:t>Synchronization and Session</w:t>
      </w:r>
    </w:p>
    <w:p>
      <w:r>
        <w:t>First fetch the most recent 30 days and paginate; continuously track ongoing sessions on the platform. Use history cursor for incremental sync; recover synchronization when the cursor expires [S04]. The first version defaults to two-minute polling and manual refresh, not real-time push. Each email has an independent provider ID to avoid mis-merging the same subject across multiple emails.</w:t>
      </w:r>
    </w:p>
    <w:p>
      <w:r>
        <w:t>Three-column Inbox displays filtering, session, and body and contact. Replies retain Gmail threadId, References, In-Reply-To, and subject relationships [S05]. Read/Archive syncs with Gmail; notes, intent, and tasks remain on the platform. Email HTML is cleaned; remote images do not load by default; attachments first show filename and size, with clear indication for unsupported previews.</w:t>
      </w:r>
    </w:p>
    <w:p>
      <w:pPr>
        <w:pStyle w:val="Heading2"/>
      </w:pPr>
      <w:r>
        <w:t>Impact of New Replies on Scheduling</w:t>
      </w:r>
    </w:p>
    <w:p>
      <w:r>
        <w:t>Once a new reply is detected, pause existing tasks for that contact that have not been sent and display the reason. Manual, automatic, and unknown replies are shown separately; when uncertain, pause conservatively. This rule only protects existing schedules and does not create the next email. If synchronization fails, prompt the status is stale and pause sending that requires checking the latest reply, while external arrival race conditions must still be explained.</w:t>
      </w:r>
    </w:p>
    <w:p>
      <w:pPr>
        <w:pStyle w:val="Heading2"/>
      </w:pPr>
      <w:r>
        <w:t>Manual Follow-Up</w:t>
      </w:r>
    </w:p>
    <w:p>
      <w:r>
        <w:t>User creates a FollowUpTask, fills in the date and notes. Reminders only occur on the platform; clicking the task opens the original session, allowing manual input, using templates, or requesting AI. Even if AI is requested, only draft suggestions are generated, and the user must explicitly send or schedule them. Completed, rescheduled, or canceled tasks do not generate automatic emails.</w:t>
      </w:r>
    </w:p>
    <w:p>
      <w:pPr>
        <w:pStyle w:val="Heading2"/>
      </w:pPr>
      <w:r>
        <w:t>Unsubscribe and Rejection</w:t>
      </w:r>
    </w:p>
    <w:p>
      <w:r>
        <w:t>Workspace-level SuppressionEntry uses normalized email as the primary key range, records the reason and source, and does not allow bypassing by switching sender emails. Known hard bounces, unsubscribes, and manually confirmed rejections are handled separately. Unsubscribe links use non-guessable signed tokens; pages perform real blocking; local demos only simulate the action without pretending the link is publicly deployed.</w:t>
      </w:r>
    </w:p>
    <w:p>
      <w:r>
        <w:br w:type="page"/>
      </w:r>
    </w:p>
    <w:p>
      <w:pPr>
        <w:pStyle w:val="Heading1"/>
      </w:pPr>
      <w:r>
        <w:t>13 Phase Four Campaigns and Product Refinement</w:t>
      </w:r>
    </w:p>
    <w:p>
      <w:pPr>
        <w:pStyle w:val="Heading2"/>
      </w:pPr>
      <w:r>
        <w:t>Limited Meaning of Campaign</w:t>
      </w:r>
    </w:p>
    <w:p>
      <w:r>
        <w:t>Campaign is a group of independently approved email tasks by users, not an automated email sequence. After users select a list, each recipient is individually generated or edited, with unified error checking, and then explicitly approved. CampaignRecipient includes fixed recipient, persona version, content snapshot, email, and time. The system never automatically generates a second email based on no response or waiting days.</w:t>
      </w:r>
    </w:p>
    <w:p>
      <w:r>
        <w:t>Batch Pre-Check Displays Duplicates, Missing Variables, No Available Addresses, Suppression, Window, and Attachment Issues. Users can explicitly exclude abnormal recipients and cannot silently skip. Each individual email has an independent To, not exposed through mass CC. Pause, resume, terminate, and single-exit reuse sending status; resume recalculates the window, not instantly resending overdue tasks.</w:t>
      </w:r>
    </w:p>
    <w:p>
      <w:pPr>
        <w:pStyle w:val="Heading2"/>
      </w:pPr>
      <w:r>
        <w:t>Templates and Statistics</w:t>
      </w:r>
    </w:p>
    <w:p>
      <w:r>
        <w:t>Templates and Snippets support creation, editing, versioning, and archiving in Phase 4. Updating templates does not change already approved content. Academic templates only have categories and examples; mentor search is still Coming Soon.</w:t>
      </w:r>
    </w:p>
    <w:tbl>
      <w:tblPr>
        <w:tblW w:type="auto" w:w="0"/>
        <w:jc w:val="center"/>
        <w:tblLayout w:type="fixed"/>
        <w:tblLook w:firstColumn="1" w:firstRow="1" w:lastColumn="0" w:lastRow="0" w:noHBand="0" w:noVBand="1" w:val="04A0"/>
      </w:tblPr>
      <w:tblGrid>
        <w:gridCol w:w="2376"/>
        <w:gridCol w:w="7200"/>
      </w:tblGrid>
      <w:tr>
        <w:trPr>
          <w:tblHeader/>
          <w:cantSplit/>
        </w:trPr>
        <w:tc>
          <w:tcPr>
            <w:tcW w:type="dxa" w:w="237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Metrics</w:t>
            </w:r>
          </w:p>
        </w:tc>
        <w:tc>
          <w:tcPr>
            <w:tcW w:type="dxa" w:w="720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Recommended definition</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formal sent emails</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non-test messages accepted by provider within a specified time window</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formally reached persons</w:t>
            </w:r>
          </w:p>
        </w:tc>
        <w:tc>
          <w:tcPr>
            <w:tcW w:type="dxa" w:w="72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unique contacts with successful submission or clear contact deduplication within the same cohort</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manually replied persons</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unique contacts identified as manually replied within the reached cohort</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Response rate</w:t>
            </w:r>
          </w:p>
        </w:tc>
        <w:tc>
          <w:tcPr>
            <w:tcW w:type="dxa" w:w="72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Number of manually replied persons in the same reached cohort / Number of formally reached persons; note observation cutoff date</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Detected bounced emails and unsubscribes</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Statistically separate by event, do not infer all delivery results</w:t>
            </w:r>
          </w:p>
        </w:tc>
      </w:tr>
    </w:tbl>
    <w:p/>
    <w:p>
      <w:pPr>
        <w:pStyle w:val="Heading2"/>
      </w:pPr>
      <w:r>
        <w:t>Non-Expanded Scope</w:t>
      </w:r>
    </w:p>
    <w:p>
      <w:r>
        <w:t>Accounts were established in Phase 2; Phase 4 only refines settings and maintenance. Team collaboration, billing, Outlook real integration, open/click tracking, email rotation, pre-warming, and automated email sequences are not included. Academic data storage technology has not been decided, and no real mentor database is built in advance for contractual design.</w:t>
      </w:r>
    </w:p>
    <w:p>
      <w:r>
        <w:br w:type="page"/>
      </w:r>
    </w:p>
    <w:p>
      <w:pPr>
        <w:pStyle w:val="Heading1"/>
      </w:pPr>
      <w:r>
        <w:t>14 Security Boundaries and Operational Quality</w:t>
      </w:r>
    </w:p>
    <w:p>
      <w:pPr>
        <w:pStyle w:val="Heading2"/>
      </w:pPr>
      <w:r>
        <w:t>Personal Information and Access</w:t>
      </w:r>
    </w:p>
    <w:p>
      <w:r>
        <w:t>Resumes, email content, and contact information are all workspace-bound. Production mode requires real sessions; file downloads validate object ownership and use short-lived controlled links. Credentials encryption keys are not stored in the same location as the database; logs remove tokens, original resumes, and full emails. Only send required fields for the current task to AI before invocation, with interface explanations of external processing scope.</w:t>
      </w:r>
    </w:p>
    <w:p>
      <w:pPr>
        <w:pStyle w:val="Heading2"/>
      </w:pPr>
      <w:r>
        <w:t>Deletion and Retention</w:t>
      </w:r>
    </w:p>
    <w:p>
      <w:r>
        <w:t>Support deletion of original resume files and user business data, explaining whether generated drafts and source fragments are synchronized for deletion. Unsubscribe suppression is an independent record to prevent further contact; deleting a contact cannot silently delete suppression; retention strategies involving account closure are clearly configured before public launch, not presented as legal conclusions.</w:t>
      </w:r>
    </w:p>
    <w:p>
      <w:pPr>
        <w:pStyle w:val="Heading2"/>
      </w:pPr>
      <w:r>
        <w:t>Operational Metrics</w:t>
      </w:r>
    </w:p>
    <w:p>
      <w:r>
        <w:t>Record API request_id, Provider error classification, generation time and usage, Worker task age, sync time, failure rate, and unknown pending verification count. Notifications must have actionable meaning; do not use unverifiable 'health' cards to mask failures. Database backups, recovery drills, OAuth audits, and deployment certificates are listed as launch checks, not claimed as completed.</w:t>
      </w:r>
    </w:p>
    <w:p>
      <w:pPr>
        <w:pStyle w:val="Heading2"/>
      </w:pPr>
      <w:r>
        <w:t>Recommended Default Configuration</w:t>
      </w:r>
    </w:p>
    <w:tbl>
      <w:tblPr>
        <w:tblW w:type="auto" w:w="0"/>
        <w:jc w:val="center"/>
        <w:tblLayout w:type="fixed"/>
        <w:tblLook w:firstColumn="1" w:firstRow="1" w:lastColumn="0" w:lastRow="0" w:noHBand="0" w:noVBand="1" w:val="04A0"/>
      </w:tblPr>
      <w:tblGrid>
        <w:gridCol w:w="2376"/>
        <w:gridCol w:w="2376"/>
        <w:gridCol w:w="4824"/>
      </w:tblGrid>
      <w:tr>
        <w:trPr>
          <w:tblHeader/>
          <w:cantSplit/>
        </w:trPr>
        <w:tc>
          <w:tcPr>
            <w:tcW w:type="dxa" w:w="237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Parameters</w:t>
            </w:r>
          </w:p>
        </w:tc>
        <w:tc>
          <w:tcPr>
            <w:tcW w:type="dxa" w:w="237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Recommended default</w:t>
            </w:r>
          </w:p>
        </w:tc>
        <w:tc>
          <w:tcPr>
            <w:tcW w:type="dxa" w:w="482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Description</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File limit</w:t>
            </w:r>
          </w:p>
        </w:tc>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10 MB</w:t>
            </w:r>
          </w:p>
        </w:tc>
        <w:tc>
          <w:tcPr>
            <w:tcW w:type="dxa" w:w="48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Configurable, type and actual content validation</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English generation length</w:t>
            </w:r>
          </w:p>
        </w:tc>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90–140 words</w:t>
            </w:r>
          </w:p>
        </w:tc>
        <w:tc>
          <w:tcPr>
            <w:tcW w:type="dxa" w:w="482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Non-blocking writing suggestions</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Auto-save</w:t>
            </w:r>
          </w:p>
        </w:tc>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Stop input for about 1 second</w:t>
            </w:r>
          </w:p>
        </w:tc>
        <w:tc>
          <w:tcPr>
            <w:tcW w:type="dxa" w:w="48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Failures / conflicts must be visible</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Synchronous polling</w:t>
            </w:r>
          </w:p>
        </w:tc>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About 2 minutes</w:t>
            </w:r>
          </w:p>
        </w:tc>
        <w:tc>
          <w:tcPr>
            <w:tcW w:type="dxa" w:w="482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Adjust by actual quota; non-real-time guarantee</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Batch enrichment / generation</w:t>
            </w:r>
          </w:p>
        </w:tc>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Small batch on-demand, server-side configured upper limit</w:t>
            </w:r>
          </w:p>
        </w:tc>
        <w:tc>
          <w:tcPr>
            <w:tcW w:type="dxa" w:w="48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Do not hardcode account quota as a constant</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All product states</w:t>
            </w:r>
          </w:p>
        </w:tc>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Feature table initially not started</w:t>
            </w:r>
          </w:p>
        </w:tc>
        <w:tc>
          <w:tcPr>
            <w:tcW w:type="dxa" w:w="482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Completion of design / demo does not mean product launch</w:t>
            </w:r>
          </w:p>
        </w:tc>
      </w:tr>
    </w:tbl>
    <w:p/>
    <w:p>
      <w:r>
        <w:br w:type="page"/>
      </w:r>
    </w:p>
    <w:p>
      <w:pPr>
        <w:pStyle w:val="Heading1"/>
      </w:pPr>
      <w:r>
        <w:t>15 Acceptance and Phase Handover</w:t>
      </w:r>
    </w:p>
    <w:p>
      <w:r>
        <w:t>Each phase's acceptance covers both successful paths and the most likely causes of data loss or mis-sending. When external credentials are not provided, distinguish between code implemented, Mock verified, and live but unverified. HTML demos' interactive tests only prove the demo is clickable, not replace Gmail or AI integration tests.</w:t>
      </w:r>
    </w:p>
    <w:tbl>
      <w:tblPr>
        <w:tblW w:type="auto" w:w="0"/>
        <w:jc w:val="center"/>
        <w:tblLayout w:type="fixed"/>
        <w:tblLook w:firstColumn="1" w:firstRow="1" w:lastColumn="0" w:lastRow="0" w:noHBand="0" w:noVBand="1" w:val="04A0"/>
      </w:tblPr>
      <w:tblGrid>
        <w:gridCol w:w="864"/>
        <w:gridCol w:w="5400"/>
        <w:gridCol w:w="3312"/>
      </w:tblGrid>
      <w:tr>
        <w:trPr>
          <w:tblHeader/>
          <w:cantSplit/>
        </w:trPr>
        <w:tc>
          <w:tcPr>
            <w:tcW w:type="dxa" w:w="864"/>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Phase</w:t>
            </w:r>
          </w:p>
        </w:tc>
        <w:tc>
          <w:tcPr>
            <w:tcW w:type="dxa" w:w="540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Must pass critical behaviors</w:t>
            </w:r>
          </w:p>
        </w:tc>
        <w:tc>
          <w:tcPr>
            <w:tcW w:type="dxa" w:w="3312"/>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Delegate to next phase</w:t>
            </w:r>
          </w:p>
        </w:tc>
      </w:tr>
      <w:tr>
        <w:trPr>
          <w:cantSplit/>
        </w:trPr>
        <w:tc>
          <w:tcPr>
            <w:tcW w:type="dxa" w:w="8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P1</w:t>
            </w:r>
          </w:p>
        </w:tc>
        <w:tc>
          <w:tcPr>
            <w:tcW w:type="dxa" w:w="54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Persona confirmation, search source, no fact fabrication, candidates not override, variable check, draft recovery</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Data migration, Provider, DraftRevision, README</w:t>
            </w:r>
          </w:p>
        </w:tc>
      </w:tr>
      <w:tr>
        <w:trPr>
          <w:cantSplit/>
        </w:trPr>
        <w:tc>
          <w:tcPr>
            <w:tcW w:type="dxa" w:w="86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P2</w:t>
            </w:r>
          </w:p>
        </w:tc>
        <w:tc>
          <w:tcPr>
            <w:tcW w:type="dxa" w:w="54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Identity isolation, multi-Gmail, specified test sending, scheduled cancellation, prevention of duplicates and unknown</w:t>
            </w:r>
          </w:p>
        </w:tc>
        <w:tc>
          <w:tcPr>
            <w:tcW w:type="dxa" w:w="331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MailProvider, SendJob, content snapshot, redacted verification records</w:t>
            </w:r>
          </w:p>
        </w:tc>
      </w:tr>
      <w:tr>
        <w:trPr>
          <w:cantSplit/>
        </w:trPr>
        <w:tc>
          <w:tcPr>
            <w:tcW w:type="dxa" w:w="8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P3</w:t>
            </w:r>
          </w:p>
        </w:tc>
        <w:tc>
          <w:tcPr>
            <w:tcW w:type="dxa" w:w="54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Incremental recovery, original session reply, pause scheduling, reminder only on expiration, cross-mailbox blocking</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Thread/Message, FollowUpTask, SuppressionEntry</w:t>
            </w:r>
          </w:p>
        </w:tc>
      </w:tr>
      <w:tr>
        <w:trPr>
          <w:cantSplit/>
        </w:trPr>
        <w:tc>
          <w:tcPr>
            <w:tcW w:type="dxa" w:w="864"/>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P4</w:t>
            </w:r>
          </w:p>
        </w:tc>
        <w:tc>
          <w:tcPr>
            <w:tcW w:type="dxa" w:w="54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Per-person preview approval, activity control, real statistics, Academic not implemented contract</w:t>
            </w:r>
          </w:p>
        </w:tc>
        <w:tc>
          <w:tcPr>
            <w:tcW w:type="dxa" w:w="3312"/>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Phase 4 regression report and external launch matters</w:t>
            </w:r>
          </w:p>
        </w:tc>
      </w:tr>
    </w:tbl>
    <w:p/>
    <w:p>
      <w:pPr>
        <w:pStyle w:val="Heading2"/>
      </w:pPr>
      <w:r>
        <w:t>AI Writing Specialization</w:t>
      </w:r>
    </w:p>
    <w:p>
      <w:r>
        <w:t>At least test five types of samples: complete facts, unknown schools, conflicting data, user requests to fabricate, and manual edits during generation. Use fixed inputs to confirm key fields and deterministic validation; do not treat exact model output matching as quality testing. Manual review of tone and facts, and program checks for allowed_fact_ids, variables, and revision.</w:t>
      </w:r>
    </w:p>
    <w:p>
      <w:pPr>
        <w:pStyle w:val="Heading2"/>
      </w:pPr>
      <w:r>
        <w:t>Prompt Usage</w:t>
      </w:r>
    </w:p>
    <w:p>
      <w:r>
        <w:t>Each phase's prompt is copied separately to a new task in the same codebase. Attaching this design and feature list makes verification easier, but the prompt itself includes constraints and completion standards. New tasks first read existing code and previous phase delivery notes, continuing development based on migration, not rebuilding the project. Do not advance to the next phase just because the page exists if the current phase's key acceptance is incomplete.</w:t>
      </w:r>
    </w:p>
    <w:p>
      <w:r>
        <w:t>Files correspond to: prompt-01-mvp.md; prompt-02-mailboxes-send.md; prompt-03-inbox-followup.md; prompt-04-campaigns-polish.md. The Excel feature list can be filtered by phase, and status and verification evidence are for development process updates.</w:t>
      </w:r>
    </w:p>
    <w:p>
      <w:r>
        <w:br w:type="page"/>
      </w:r>
    </w:p>
    <w:p>
      <w:pPr>
        <w:pStyle w:val="Heading1"/>
        <w:spacing w:after="60"/>
      </w:pPr>
      <w:r>
        <w:t>16 Sources and Design Decisions</w:t>
      </w:r>
    </w:p>
    <w:p>
      <w:pPr>
        <w:spacing w:after="60"/>
      </w:pPr>
      <w:r>
        <w:t>Scope comes from explicit choices in this conversation. The following official technical documentation is verified as of September 6, 2026, and is only used to confirm interface boundaries; specific account permissions, plans, and public launch requirements still need to be verified during development. No real Apollo, Gmail, or model credentials are called or verified.</w:t>
      </w:r>
    </w:p>
    <w:p>
      <w:pPr>
        <w:pStyle w:val="Heading2"/>
        <w:spacing w:after="60"/>
      </w:pPr>
      <w:r>
        <w:t>S01 User Scope Confirmation</w:t>
      </w:r>
    </w:p>
    <w:p>
      <w:pPr>
        <w:spacing w:after="60"/>
      </w:pPr>
      <w:r>
        <w:t>Personal multi-Gmail, English default, manual follow-up, four phases with no automated email sequence</w:t>
      </w:r>
    </w:p>
    <w:p>
      <w:pPr>
        <w:spacing w:after="60"/>
      </w:pPr>
      <w:r>
        <w:t>This conversation 2026-09-06</w:t>
      </w:r>
    </w:p>
    <w:p>
      <w:pPr>
        <w:pStyle w:val="Heading2"/>
        <w:spacing w:after="60"/>
      </w:pPr>
      <w:r>
        <w:t>S02 Apollo and LinkedIn Public Search</w:t>
      </w:r>
    </w:p>
    <w:p>
      <w:pPr>
        <w:spacing w:after="60"/>
      </w:pPr>
      <w:r>
        <w:t>Apollo people search and email enrichment are separated; SerpAPI is indexed via Google for LinkedIn public pages, coverage depends on indexing. Dual-source collaboration is pending verification</w:t>
      </w:r>
    </w:p>
    <w:p>
      <w:pPr>
        <w:spacing w:after="60"/>
      </w:pPr>
      <w:r>
        <w:t>https://docs.apollo.io/reference/people-api-search</w:t>
        <w:br/>
        <w:t>https://serpapi.com/search-api</w:t>
      </w:r>
    </w:p>
    <w:p>
      <w:pPr>
        <w:pStyle w:val="Heading2"/>
        <w:spacing w:after="60"/>
      </w:pPr>
      <w:r>
        <w:t>S03 Gmail OAuth Permissions</w:t>
      </w:r>
    </w:p>
    <w:p>
      <w:pPr>
        <w:spacing w:after="60"/>
      </w:pPr>
      <w:r>
        <w:t>Apply based on actual functionality; public verification is independent of local development</w:t>
      </w:r>
    </w:p>
    <w:p>
      <w:pPr>
        <w:spacing w:after="60"/>
      </w:pPr>
      <w:r>
        <w:t>https://developers.google.com/workspace/gmail/api/auth/scopes</w:t>
      </w:r>
    </w:p>
    <w:p>
      <w:pPr>
        <w:pStyle w:val="Heading2"/>
        <w:spacing w:after="60"/>
      </w:pPr>
      <w:r>
        <w:t>S04 Gmail Synchronization</w:t>
      </w:r>
    </w:p>
    <w:p>
      <w:pPr>
        <w:spacing w:after="60"/>
      </w:pPr>
      <w:r>
        <w:t>Initial and incremental synchronization; cursor failure requires recovery</w:t>
      </w:r>
    </w:p>
    <w:p>
      <w:pPr>
        <w:spacing w:after="60"/>
      </w:pPr>
      <w:r>
        <w:t>https://developers.google.com/workspace/gmail/api/guides/sync</w:t>
      </w:r>
    </w:p>
    <w:p>
      <w:pPr>
        <w:pStyle w:val="Heading2"/>
        <w:spacing w:after="60"/>
      </w:pPr>
      <w:r>
        <w:t>S05 Gmail Session</w:t>
      </w:r>
    </w:p>
    <w:p>
      <w:pPr>
        <w:spacing w:after="60"/>
      </w:pPr>
      <w:r>
        <w:t>Reply retains threadId and message header relationship</w:t>
      </w:r>
    </w:p>
    <w:p>
      <w:pPr>
        <w:spacing w:after="60"/>
      </w:pPr>
      <w:r>
        <w:t>https://developers.google.com/workspace/gmail/api/guides/threads</w:t>
      </w:r>
    </w:p>
    <w:p>
      <w:pPr>
        <w:pStyle w:val="Heading2"/>
        <w:spacing w:after="60"/>
      </w:pPr>
      <w:r>
        <w:t>S06 Tiptap Mention Extension</w:t>
      </w:r>
    </w:p>
    <w:p>
      <w:pPr>
        <w:spacing w:after="60"/>
      </w:pPr>
      <w:r>
        <w:t>Reference node interaction mechanism; variable nodes require custom design</w:t>
      </w:r>
    </w:p>
    <w:p>
      <w:pPr>
        <w:spacing w:after="60"/>
      </w:pPr>
      <w:r>
        <w:t>https://tiptap.dev/docs/editor/extensions/nodes/mention</w:t>
      </w:r>
    </w:p>
    <w:p>
      <w:pPr>
        <w:pStyle w:val="Heading2"/>
        <w:spacing w:after="60"/>
      </w:pPr>
      <w:r>
        <w:t>This version's explicit design decisions</w:t>
      </w:r>
    </w:p>
    <w:p>
      <w:pPr>
        <w:spacing w:after="60"/>
      </w:pPr>
      <w:r>
        <w:t>Account and workspace authentication is placed in Phase 2, not Phase 4, to avoid Gmail data ownership rework. Phase 1 uses a modular monolith, not building automated infrastructure in advance. AI candidates and body are separated, and manual adoption is the content writing boundary. Batch activities are introduced after reply protection to reduce the risk of existing replies continuing to be batch scheduled.</w:t>
      </w:r>
    </w:p>
    <w:p>
      <w:pPr>
        <w:spacing w:after="60"/>
      </w:pPr>
      <w:r>
        <w:t>These design defaults can be adjusted during implementation, but should be synchronized with Word, feature list, and subsequent prompts. Any new automated email sequence, team permissions, or real Academic search requires a new phase to define scope.</w:t>
      </w:r>
    </w:p>
    <w:p>
      <w:pPr>
        <w:spacing w:after="60"/>
      </w:pPr>
      <w:r>
        <w:br w:type="page"/>
      </w:r>
    </w:p>
    <w:p>
      <w:pPr>
        <w:pStyle w:val="Heading1"/>
      </w:pPr>
      <w:r>
        <w:t>17 Administrator Backend Soon Schedule</w:t>
      </w:r>
    </w:p>
    <w:p>
      <w:r>
        <w:t>Administrator backend is included in Soon development scope, with specific phases and dates to be determined, not counted in P1–P4 delivery thresholds. Currently, only the planning entry and page description are shown, without implementing management operations. The first phase's resume, find person, write letter, and draft loop remains unchanged.</w:t>
      </w:r>
    </w:p>
    <w:tbl>
      <w:tblPr>
        <w:tblW w:type="auto" w:w="0"/>
        <w:jc w:val="center"/>
        <w:tblLayout w:type="fixed"/>
        <w:tblLook w:firstColumn="1" w:firstRow="1" w:lastColumn="0" w:lastRow="0" w:noHBand="0" w:noVBand="1" w:val="04A0"/>
      </w:tblPr>
      <w:tblGrid>
        <w:gridCol w:w="2376"/>
        <w:gridCol w:w="7200"/>
      </w:tblGrid>
      <w:tr>
        <w:trPr>
          <w:tblHeader/>
          <w:cantSplit/>
        </w:trPr>
        <w:tc>
          <w:tcPr>
            <w:tcW w:type="dxa" w:w="2376"/>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Planning page</w:t>
            </w:r>
          </w:p>
        </w:tc>
        <w:tc>
          <w:tcPr>
            <w:tcW w:type="dxa" w:w="7200"/>
            <w:vAlign w:val="center"/>
            <w:shd w:fill="23374D"/>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color w:val="FFFFFF"/>
                <w:sz w:val="18"/>
              </w:rPr>
              <w:t>Main features</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Overview of operation</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Summary of users, email failures, queued and failed tasks, supports drilling down</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User management</w:t>
            </w:r>
          </w:p>
        </w:tc>
        <w:tc>
          <w:tcPr>
            <w:tcW w:type="dxa" w:w="72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Query account and workspace status, disable and re-enable account</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Email connection</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View ownership, authorization status, sync errors; pause related tasks</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Send task</w:t>
            </w:r>
          </w:p>
        </w:tc>
        <w:tc>
          <w:tcPr>
            <w:tcW w:type="dxa" w:w="72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Filter queued, scheduled, failed and unknown tasks; pause and cancel</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Service and AI configuration</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Manage provider connections, models, quotas, timeouts and retry parameters</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Synchronization task</w:t>
            </w:r>
          </w:p>
        </w:tc>
        <w:tc>
          <w:tcPr>
            <w:tcW w:type="dxa" w:w="72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View sync cursor, delay and errors, execute controlled recovery</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Platform templates and prompts</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Test, publish and rollback platform templates and AI prompt versions</w:t>
            </w:r>
          </w:p>
        </w:tc>
      </w:tr>
      <w:tr>
        <w:trPr>
          <w:cantSplit/>
        </w:trPr>
        <w:tc>
          <w:tcPr>
            <w:tcW w:type="dxa" w:w="2376"/>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Usage and cost</w:t>
            </w:r>
          </w:p>
        </w:tc>
        <w:tc>
          <w:tcPr>
            <w:tcW w:type="dxa" w:w="7200"/>
            <w:vAlign w:val="center"/>
            <w:shd w:fill="F2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View usage and cost by user, date and provider</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Audit and platform settings</w:t>
            </w:r>
          </w:p>
        </w:tc>
        <w:tc>
          <w:tcPr>
            <w:tcW w:type="dxa" w:w="72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64" w:lineRule="auto"/>
            </w:pPr>
            <w:r>
              <w:rPr>
                <w:b w:val="0"/>
                <w:color w:val="000000"/>
                <w:sz w:val="18"/>
              </w:rPr>
              <w:t>Query management operation logs, manage default limits and feature switches</w:t>
            </w:r>
          </w:p>
        </w:tc>
      </w:tr>
    </w:tbl>
    <w:p/>
    <w:p>
      <w:pPr>
        <w:pStyle w:val="Heading2"/>
      </w:pPr>
      <w:r>
        <w:t>Access and Operation Boundaries</w:t>
      </w:r>
    </w:p>
    <w:p>
      <w:r>
        <w:t>Use an independent management entry and server-side platform role verification when officially implemented. Personal workspace Owner does not automatically have platform administrator permissions. By default, only metadata and sanitized errors are shown; viewing resumes or email bodies requires separate, controlled, and auditable permissions. Keys and OAuth Tokens are not echoed.</w:t>
      </w:r>
    </w:p>
    <w:p>
      <w:r>
        <w:t>Administrators cannot complete Gmail authorization on behalf of users; unknown send results must be verified first, and cannot be resent directly. Template or prompt modifications do not affect approved content. Account recovery and task recovery are handled separately to prevent accidental resending.</w:t>
      </w:r>
    </w:p>
    <w:p>
      <w:pPr>
        <w:pStyle w:val="Heading2"/>
      </w:pPr>
      <w:r>
        <w:t>Subsequent Launch Conditions</w:t>
      </w:r>
    </w:p>
    <w:p>
      <w:r>
        <w:t>Official accounts, platform roles, and corresponding business modules are ready before determining the implementation phase and independent development prompt for the management backend. The four existing prompts only declare the Soon boundary; XLSX can filter Soon to view nine pending tasks, with completion rate and four phases separately tracked.</w:t>
      </w:r>
    </w:p>
    <w:sectPr w:rsidR="00FC693F" w:rsidRPr="0006063C" w:rsidSect="00034616">
      <w:headerReference w:type="default" r:id="rId9"/>
      <w:footerReference w:type="default" r:id="rId10"/>
      <w:pgSz w:w="11909" w:h="16834"/>
      <w:pgMar w:top="1008"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Design version 1.2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Connact.ai   /   Product and Engineering Design   /   2026 09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Arial" w:hAnsi="Arial"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Arial" w:hAnsi="Arial"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Songti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Songti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Connact.ai Financial Networking and Email Writing Workbench</dc:title>
  <dc:subject>Finance MVP AI Writing, Architecture, and Phased Acceptance</dc:subject>
  <dc:creator>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