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89864A" w14:textId="77777777" w:rsidR="005A3652" w:rsidRPr="00D227BA" w:rsidRDefault="005A3652">
      <w:pPr>
        <w:rPr>
          <w:rFonts w:asciiTheme="minorHAnsi" w:hAnsiTheme="minorHAnsi"/>
          <w:b/>
          <w:u w:val="single"/>
          <w:lang w:val="es-ES_tradnl"/>
        </w:rPr>
      </w:pPr>
    </w:p>
    <w:p w14:paraId="68F19D25" w14:textId="77777777" w:rsidR="005A3652" w:rsidRPr="00D227BA" w:rsidRDefault="00D227BA">
      <w:pPr>
        <w:rPr>
          <w:rFonts w:asciiTheme="minorHAnsi" w:hAnsiTheme="minorHAnsi"/>
          <w:b/>
          <w:u w:val="single"/>
          <w:lang w:val="es-ES_tradnl"/>
        </w:rPr>
      </w:pPr>
      <w:proofErr w:type="spellStart"/>
      <w:r w:rsidRPr="00D227BA">
        <w:rPr>
          <w:rFonts w:asciiTheme="minorHAnsi" w:hAnsiTheme="minorHAnsi"/>
          <w:b/>
          <w:u w:val="single"/>
          <w:lang w:val="es-ES_tradnl"/>
        </w:rPr>
        <w:t>Team</w:t>
      </w:r>
      <w:proofErr w:type="spellEnd"/>
      <w:r w:rsidRPr="00D227BA">
        <w:rPr>
          <w:rFonts w:asciiTheme="minorHAnsi" w:hAnsiTheme="minorHAnsi"/>
          <w:b/>
          <w:u w:val="single"/>
          <w:lang w:val="es-ES_tradnl"/>
        </w:rPr>
        <w:t xml:space="preserve"> Leader</w:t>
      </w:r>
    </w:p>
    <w:p w14:paraId="18269399" w14:textId="77777777" w:rsidR="005A3652" w:rsidRPr="00D227BA" w:rsidRDefault="005A3652">
      <w:pPr>
        <w:rPr>
          <w:rFonts w:asciiTheme="minorHAnsi" w:hAnsiTheme="minorHAnsi"/>
          <w:b/>
          <w:u w:val="single"/>
          <w:lang w:val="es-ES_tradnl"/>
        </w:rPr>
      </w:pPr>
    </w:p>
    <w:p w14:paraId="1AF9116D" w14:textId="77777777" w:rsidR="005A3652" w:rsidRPr="00D227BA" w:rsidRDefault="00D227BA">
      <w:pPr>
        <w:rPr>
          <w:rFonts w:asciiTheme="minorHAnsi" w:hAnsiTheme="minorHAnsi"/>
          <w:lang w:val="es-ES_tradnl"/>
        </w:rPr>
      </w:pPr>
      <w:r w:rsidRPr="00D227BA">
        <w:rPr>
          <w:rFonts w:asciiTheme="minorHAnsi" w:hAnsiTheme="minorHAnsi"/>
          <w:lang w:val="es-ES_tradnl"/>
        </w:rPr>
        <w:t>En este ciclo el equipo realizó un buen trabajo en concluir las actividades del proyecto. Al principio del ciclo, tomando en cuenta la data de nuestros procesos, pudimos conformas expectativas con el cliente. Mas específicamente, de que no se iba a poder termina la funcionalidad #3. Sin embargo, definimos los pasos necesario para hacer la implementación y creamos el esquema de la base de datos.</w:t>
      </w:r>
    </w:p>
    <w:p w14:paraId="601E48F4" w14:textId="77777777" w:rsidR="005A3652" w:rsidRPr="00D227BA" w:rsidRDefault="005A3652">
      <w:pPr>
        <w:rPr>
          <w:rFonts w:asciiTheme="minorHAnsi" w:hAnsiTheme="minorHAnsi"/>
          <w:lang w:val="es-ES_tradnl"/>
        </w:rPr>
      </w:pPr>
    </w:p>
    <w:p w14:paraId="04E1A7FD" w14:textId="77777777" w:rsidR="005A3652" w:rsidRPr="00D227BA" w:rsidRDefault="00D227BA">
      <w:pPr>
        <w:rPr>
          <w:rFonts w:asciiTheme="minorHAnsi" w:hAnsiTheme="minorHAnsi"/>
          <w:lang w:val="es-ES_tradnl"/>
        </w:rPr>
      </w:pPr>
      <w:r w:rsidRPr="00D227BA">
        <w:rPr>
          <w:rFonts w:asciiTheme="minorHAnsi" w:hAnsiTheme="minorHAnsi"/>
          <w:lang w:val="es-ES_tradnl"/>
        </w:rPr>
        <w:t>En cuanto a mi rol, con el paso de los ciclos se ha hecho mas fácil debido a que el equipo se ha compenetrado mejor.</w:t>
      </w:r>
    </w:p>
    <w:p w14:paraId="5FF6453D" w14:textId="77777777" w:rsidR="005A3652" w:rsidRPr="00D227BA" w:rsidRDefault="005A3652">
      <w:pPr>
        <w:rPr>
          <w:rFonts w:asciiTheme="minorHAnsi" w:hAnsiTheme="minorHAnsi"/>
          <w:lang w:val="es-ES_tradnl"/>
        </w:rPr>
      </w:pPr>
    </w:p>
    <w:p w14:paraId="05CB1512" w14:textId="77777777" w:rsidR="005A3652" w:rsidRPr="00D227BA" w:rsidRDefault="00D227BA">
      <w:pPr>
        <w:rPr>
          <w:rFonts w:asciiTheme="minorHAnsi" w:hAnsiTheme="minorHAnsi"/>
          <w:b/>
          <w:u w:val="single"/>
          <w:lang w:val="es-ES_tradnl"/>
        </w:rPr>
      </w:pPr>
      <w:proofErr w:type="spellStart"/>
      <w:r w:rsidRPr="00D227BA">
        <w:rPr>
          <w:rFonts w:asciiTheme="minorHAnsi" w:hAnsiTheme="minorHAnsi"/>
          <w:b/>
          <w:u w:val="single"/>
          <w:lang w:val="es-ES_tradnl"/>
        </w:rPr>
        <w:t>Planning</w:t>
      </w:r>
      <w:proofErr w:type="spellEnd"/>
      <w:r w:rsidRPr="00D227BA">
        <w:rPr>
          <w:rFonts w:asciiTheme="minorHAnsi" w:hAnsiTheme="minorHAnsi"/>
          <w:b/>
          <w:u w:val="single"/>
          <w:lang w:val="es-ES_tradnl"/>
        </w:rPr>
        <w:t xml:space="preserve"> Manager </w:t>
      </w:r>
    </w:p>
    <w:p w14:paraId="5AF41A32" w14:textId="77777777" w:rsidR="005A3652" w:rsidRPr="00D227BA" w:rsidRDefault="005A3652">
      <w:pPr>
        <w:jc w:val="both"/>
        <w:rPr>
          <w:rFonts w:asciiTheme="minorHAnsi" w:hAnsiTheme="minorHAnsi"/>
          <w:lang w:val="es-ES_tradnl"/>
        </w:rPr>
      </w:pPr>
    </w:p>
    <w:p w14:paraId="619DD504" w14:textId="77777777" w:rsidR="005A3652" w:rsidRDefault="00D227BA">
      <w:pPr>
        <w:jc w:val="both"/>
        <w:rPr>
          <w:rFonts w:asciiTheme="minorHAnsi" w:hAnsiTheme="minorHAnsi"/>
          <w:lang w:val="es-ES_tradnl"/>
        </w:rPr>
      </w:pPr>
      <w:r w:rsidRPr="00D227BA">
        <w:rPr>
          <w:rFonts w:asciiTheme="minorHAnsi" w:hAnsiTheme="minorHAnsi"/>
          <w:lang w:val="es-ES_tradnl"/>
        </w:rPr>
        <w:t>Este ciclo tenia estimada una duración de 3 semanas con un estimado de 109 horas de trabajo, repartidas de la siguiente manera: 37 para la primera, 35 para la segunda y 37 para la tercera. La duración real del ciclo fue de 4 semanas, en las cuales se trabajo un total de 126.78 horas, repartidas de la siguiente manera: 11.73 en la primera, 28.68 en la segunda, 57.78 en la tercera y 27.58 en la cuarta. La siguiente gráfica muestra la relación entre las horas estimadas y horas trabajadas del ciclo #4:</w:t>
      </w:r>
    </w:p>
    <w:p w14:paraId="7F01E705" w14:textId="77777777" w:rsidR="00D227BA" w:rsidRPr="00D227BA" w:rsidRDefault="00D227BA">
      <w:pPr>
        <w:jc w:val="both"/>
        <w:rPr>
          <w:rFonts w:asciiTheme="minorHAnsi" w:hAnsiTheme="minorHAnsi"/>
          <w:lang w:val="es-ES_tradnl"/>
        </w:rPr>
      </w:pPr>
    </w:p>
    <w:p w14:paraId="0708B297" w14:textId="77777777" w:rsidR="005A3652" w:rsidRPr="00D227BA" w:rsidRDefault="00D227BA">
      <w:pPr>
        <w:jc w:val="both"/>
        <w:rPr>
          <w:rFonts w:asciiTheme="minorHAnsi" w:hAnsiTheme="minorHAnsi"/>
          <w:lang w:val="es-ES_tradnl"/>
        </w:rPr>
      </w:pPr>
      <w:bookmarkStart w:id="0" w:name="_GoBack1"/>
      <w:bookmarkEnd w:id="0"/>
      <w:r w:rsidRPr="00D227BA">
        <w:rPr>
          <w:rFonts w:asciiTheme="minorHAnsi" w:hAnsiTheme="minorHAnsi"/>
          <w:noProof/>
        </w:rPr>
        <w:drawing>
          <wp:inline distT="0" distB="0" distL="0" distR="0" wp14:anchorId="515225C0" wp14:editId="577F1D7A">
            <wp:extent cx="5957570" cy="2117725"/>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3B8036C" w14:textId="77777777" w:rsidR="00D227BA" w:rsidRDefault="00D227BA">
      <w:pPr>
        <w:jc w:val="both"/>
        <w:rPr>
          <w:rFonts w:asciiTheme="minorHAnsi" w:hAnsiTheme="minorHAnsi"/>
          <w:lang w:val="es-ES_tradnl"/>
        </w:rPr>
      </w:pPr>
      <w:r w:rsidRPr="00D227BA">
        <w:rPr>
          <w:rFonts w:asciiTheme="minorHAnsi" w:hAnsiTheme="minorHAnsi"/>
          <w:lang w:val="es-ES_tradnl"/>
        </w:rPr>
        <w:tab/>
      </w:r>
    </w:p>
    <w:p w14:paraId="75684BC1" w14:textId="77777777" w:rsidR="005A3652" w:rsidRPr="00D227BA" w:rsidRDefault="00D227BA">
      <w:pPr>
        <w:jc w:val="both"/>
        <w:rPr>
          <w:rFonts w:asciiTheme="minorHAnsi" w:hAnsiTheme="minorHAnsi"/>
          <w:lang w:val="es-ES_tradnl"/>
        </w:rPr>
      </w:pPr>
      <w:r w:rsidRPr="00D227BA">
        <w:rPr>
          <w:rFonts w:asciiTheme="minorHAnsi" w:hAnsiTheme="minorHAnsi"/>
          <w:lang w:val="es-ES_tradnl"/>
        </w:rPr>
        <w:t>Con respecto a las ganancias, se estimó que se obtendría para la primera semana un 11.75%, para la segunda semana un 11.11% y para la tercera semana un 11.75%. Las ganancias reales obtenidas fueron 3.97% en la primera semana, 7.62% en la segunda semana, 14.92% en la tercera semana y 3.49% en la cuarta semana. La siguiente gráfica muestra la relación entre ganancias estimadas y obtenidas del ciclo #4:</w:t>
      </w:r>
    </w:p>
    <w:p w14:paraId="3D2F1F54" w14:textId="77777777" w:rsidR="005A3652" w:rsidRPr="00D227BA" w:rsidRDefault="00D227BA">
      <w:pPr>
        <w:jc w:val="both"/>
        <w:rPr>
          <w:rFonts w:asciiTheme="minorHAnsi" w:hAnsiTheme="minorHAnsi"/>
          <w:lang w:val="es-ES_tradnl"/>
        </w:rPr>
      </w:pPr>
      <w:r w:rsidRPr="00D227BA">
        <w:rPr>
          <w:rFonts w:asciiTheme="minorHAnsi" w:hAnsiTheme="minorHAnsi"/>
          <w:noProof/>
        </w:rPr>
        <w:lastRenderedPageBreak/>
        <w:drawing>
          <wp:inline distT="0" distB="0" distL="0" distR="0" wp14:anchorId="429AAC49" wp14:editId="42D033A0">
            <wp:extent cx="5494020" cy="2194560"/>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3D1A8DD" w14:textId="77777777" w:rsidR="00D227BA" w:rsidRDefault="00D227BA">
      <w:pPr>
        <w:jc w:val="both"/>
        <w:rPr>
          <w:rFonts w:asciiTheme="minorHAnsi" w:hAnsiTheme="minorHAnsi"/>
          <w:lang w:val="es-ES_tradnl"/>
        </w:rPr>
      </w:pPr>
      <w:r w:rsidRPr="00D227BA">
        <w:rPr>
          <w:rFonts w:asciiTheme="minorHAnsi" w:hAnsiTheme="minorHAnsi"/>
          <w:lang w:val="es-ES_tradnl"/>
        </w:rPr>
        <w:tab/>
      </w:r>
    </w:p>
    <w:p w14:paraId="2D480DD6" w14:textId="77777777" w:rsidR="005A3652" w:rsidRPr="00D227BA" w:rsidRDefault="00D227BA">
      <w:pPr>
        <w:jc w:val="both"/>
        <w:rPr>
          <w:rFonts w:asciiTheme="minorHAnsi" w:hAnsiTheme="minorHAnsi"/>
          <w:lang w:val="es-ES_tradnl"/>
        </w:rPr>
      </w:pPr>
      <w:r w:rsidRPr="00D227BA">
        <w:rPr>
          <w:rFonts w:asciiTheme="minorHAnsi" w:hAnsiTheme="minorHAnsi"/>
          <w:lang w:val="es-ES_tradnl"/>
        </w:rPr>
        <w:t>Los resultados de este ciclo nos llevan a un total de 91.85% de ganancias acumuladas, lo que deja pendiente un 8.25%. La siguiente gráfica muestra la relación entre ganancias estimadas y obtenidas del proyecto completo:</w:t>
      </w:r>
    </w:p>
    <w:p w14:paraId="4047A5A1" w14:textId="77777777" w:rsidR="005A3652" w:rsidRPr="00D227BA" w:rsidRDefault="005A3652">
      <w:pPr>
        <w:jc w:val="both"/>
        <w:rPr>
          <w:rFonts w:asciiTheme="minorHAnsi" w:hAnsiTheme="minorHAnsi"/>
          <w:lang w:val="es-ES_tradnl"/>
        </w:rPr>
      </w:pPr>
    </w:p>
    <w:p w14:paraId="17A9F7FE" w14:textId="77777777" w:rsidR="005A3652" w:rsidRPr="00D227BA" w:rsidRDefault="00D227BA">
      <w:pPr>
        <w:jc w:val="both"/>
        <w:rPr>
          <w:rFonts w:asciiTheme="minorHAnsi" w:hAnsiTheme="minorHAnsi"/>
          <w:lang w:val="es-ES_tradnl"/>
        </w:rPr>
      </w:pPr>
      <w:r w:rsidRPr="00D227BA">
        <w:rPr>
          <w:rFonts w:asciiTheme="minorHAnsi" w:hAnsiTheme="minorHAnsi"/>
          <w:noProof/>
        </w:rPr>
        <w:drawing>
          <wp:inline distT="0" distB="0" distL="0" distR="0" wp14:anchorId="4859696D" wp14:editId="292E4E72">
            <wp:extent cx="6964680" cy="3964305"/>
            <wp:effectExtent l="0" t="0" r="0" b="0"/>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E9B9154" w14:textId="77777777" w:rsidR="005A3652" w:rsidRPr="00D227BA" w:rsidRDefault="005A3652">
      <w:pPr>
        <w:rPr>
          <w:rFonts w:asciiTheme="minorHAnsi" w:hAnsiTheme="minorHAnsi"/>
          <w:lang w:val="es-ES_tradnl"/>
        </w:rPr>
      </w:pPr>
    </w:p>
    <w:p w14:paraId="61233D59" w14:textId="77777777" w:rsidR="005A3652" w:rsidRPr="00D227BA" w:rsidRDefault="00D227BA">
      <w:pPr>
        <w:rPr>
          <w:rFonts w:asciiTheme="minorHAnsi" w:hAnsiTheme="minorHAnsi"/>
          <w:b/>
          <w:u w:val="single"/>
          <w:lang w:val="es-ES_tradnl"/>
        </w:rPr>
      </w:pPr>
      <w:proofErr w:type="spellStart"/>
      <w:r w:rsidRPr="00D227BA">
        <w:rPr>
          <w:rFonts w:asciiTheme="minorHAnsi" w:hAnsiTheme="minorHAnsi"/>
          <w:b/>
          <w:u w:val="single"/>
          <w:lang w:val="es-ES_tradnl"/>
        </w:rPr>
        <w:t>Quality</w:t>
      </w:r>
      <w:proofErr w:type="spellEnd"/>
      <w:r w:rsidRPr="00D227BA">
        <w:rPr>
          <w:rFonts w:asciiTheme="minorHAnsi" w:hAnsiTheme="minorHAnsi"/>
          <w:b/>
          <w:u w:val="single"/>
          <w:lang w:val="es-ES_tradnl"/>
        </w:rPr>
        <w:t xml:space="preserve"> Manager</w:t>
      </w:r>
    </w:p>
    <w:p w14:paraId="1FF566A9" w14:textId="77777777" w:rsidR="005A3652" w:rsidRPr="00D227BA" w:rsidRDefault="005A3652">
      <w:pPr>
        <w:rPr>
          <w:rFonts w:asciiTheme="minorHAnsi" w:hAnsiTheme="minorHAnsi"/>
          <w:lang w:val="es-ES_tradnl"/>
        </w:rPr>
      </w:pPr>
    </w:p>
    <w:p w14:paraId="24702761" w14:textId="77777777" w:rsidR="005A3652" w:rsidRPr="00D227BA" w:rsidRDefault="00D227BA">
      <w:pPr>
        <w:rPr>
          <w:rFonts w:asciiTheme="minorHAnsi" w:hAnsiTheme="minorHAnsi"/>
          <w:color w:val="000000"/>
          <w:lang w:val="es-ES_tradnl"/>
        </w:rPr>
      </w:pPr>
      <w:r w:rsidRPr="00D227BA">
        <w:rPr>
          <w:rFonts w:asciiTheme="minorHAnsi" w:hAnsiTheme="minorHAnsi"/>
          <w:color w:val="000000"/>
          <w:lang w:val="es-ES_tradnl"/>
        </w:rPr>
        <w:t>Este último ciclo ha sido bastante intenso sobre todo para los chicos, considero que se han cumplido con las expectativas del cliente, se le han dedicado al proyecto más de las horas estimadas y se ha hecho todo lo posible para satisfacer a nuestro instructor.</w:t>
      </w:r>
    </w:p>
    <w:p w14:paraId="7DA380BD" w14:textId="77777777" w:rsidR="005A3652" w:rsidRPr="00D227BA" w:rsidRDefault="00D227BA">
      <w:pPr>
        <w:rPr>
          <w:rFonts w:asciiTheme="minorHAnsi" w:hAnsiTheme="minorHAnsi"/>
          <w:color w:val="000000"/>
          <w:lang w:val="es-ES_tradnl"/>
        </w:rPr>
      </w:pPr>
      <w:r w:rsidRPr="00D227BA">
        <w:rPr>
          <w:rFonts w:asciiTheme="minorHAnsi" w:hAnsiTheme="minorHAnsi"/>
          <w:color w:val="000000"/>
          <w:lang w:val="es-ES_tradnl"/>
        </w:rPr>
        <w:tab/>
      </w:r>
    </w:p>
    <w:p w14:paraId="048EBDF6" w14:textId="77777777" w:rsidR="005A3652" w:rsidRPr="00D227BA" w:rsidRDefault="00D227BA">
      <w:pPr>
        <w:spacing w:after="200" w:line="288" w:lineRule="auto"/>
        <w:rPr>
          <w:rFonts w:asciiTheme="minorHAnsi" w:hAnsiTheme="minorHAnsi"/>
          <w:color w:val="000000"/>
          <w:lang w:val="es-ES_tradnl"/>
        </w:rPr>
      </w:pPr>
      <w:r w:rsidRPr="00D227BA">
        <w:rPr>
          <w:rFonts w:asciiTheme="minorHAnsi" w:hAnsiTheme="minorHAnsi"/>
          <w:color w:val="000000"/>
          <w:lang w:val="es-ES_tradnl"/>
        </w:rPr>
        <w:lastRenderedPageBreak/>
        <w:t xml:space="preserve">Ha sido una experiencia memorable, ya que ha sido uno de los tantos grupos que he estado, donde todos los miembros han trabajado bastante, esto se debe también al status </w:t>
      </w:r>
      <w:proofErr w:type="spellStart"/>
      <w:r w:rsidRPr="00D227BA">
        <w:rPr>
          <w:rFonts w:asciiTheme="minorHAnsi" w:hAnsiTheme="minorHAnsi"/>
          <w:color w:val="000000"/>
          <w:lang w:val="es-ES_tradnl"/>
        </w:rPr>
        <w:t>meeting</w:t>
      </w:r>
      <w:proofErr w:type="spellEnd"/>
      <w:r w:rsidRPr="00D227BA">
        <w:rPr>
          <w:rFonts w:asciiTheme="minorHAnsi" w:hAnsiTheme="minorHAnsi"/>
          <w:color w:val="000000"/>
          <w:lang w:val="es-ES_tradnl"/>
        </w:rPr>
        <w:t xml:space="preserve"> que se realizan semanalmente con la finalidad de que todos los participantes del grupo estén activos en el proyecto y muestren sus avances durante la semana.</w:t>
      </w:r>
    </w:p>
    <w:p w14:paraId="731A3E09" w14:textId="77777777" w:rsidR="005A3652" w:rsidRPr="00D227BA" w:rsidRDefault="005A3652">
      <w:pPr>
        <w:rPr>
          <w:rFonts w:asciiTheme="minorHAnsi" w:hAnsiTheme="minorHAnsi"/>
          <w:lang w:val="es-ES_tradnl"/>
        </w:rPr>
      </w:pPr>
    </w:p>
    <w:p w14:paraId="50CADDE6" w14:textId="77777777" w:rsidR="005A3652" w:rsidRPr="00D227BA" w:rsidRDefault="005A3652">
      <w:pPr>
        <w:rPr>
          <w:rFonts w:asciiTheme="minorHAnsi" w:hAnsiTheme="minorHAnsi"/>
          <w:lang w:val="es-ES_tradnl"/>
        </w:rPr>
      </w:pPr>
    </w:p>
    <w:p w14:paraId="11AF997F" w14:textId="77777777" w:rsidR="005A3652" w:rsidRPr="00D227BA" w:rsidRDefault="00D227BA">
      <w:pPr>
        <w:rPr>
          <w:rFonts w:asciiTheme="minorHAnsi" w:hAnsiTheme="minorHAnsi"/>
          <w:b/>
          <w:u w:val="single"/>
          <w:lang w:val="es-ES_tradnl"/>
        </w:rPr>
      </w:pPr>
      <w:proofErr w:type="spellStart"/>
      <w:r w:rsidRPr="00D227BA">
        <w:rPr>
          <w:rFonts w:asciiTheme="minorHAnsi" w:hAnsiTheme="minorHAnsi"/>
          <w:b/>
          <w:u w:val="single"/>
          <w:lang w:val="es-ES_tradnl"/>
        </w:rPr>
        <w:t>Development</w:t>
      </w:r>
      <w:proofErr w:type="spellEnd"/>
      <w:r w:rsidRPr="00D227BA">
        <w:rPr>
          <w:rFonts w:asciiTheme="minorHAnsi" w:hAnsiTheme="minorHAnsi"/>
          <w:b/>
          <w:u w:val="single"/>
          <w:lang w:val="es-ES_tradnl"/>
        </w:rPr>
        <w:t xml:space="preserve"> Manager </w:t>
      </w:r>
    </w:p>
    <w:p w14:paraId="18A067EB" w14:textId="77777777" w:rsidR="005A3652" w:rsidRPr="00D227BA" w:rsidRDefault="005A3652">
      <w:pPr>
        <w:rPr>
          <w:rFonts w:asciiTheme="minorHAnsi" w:hAnsiTheme="minorHAnsi"/>
          <w:b/>
          <w:u w:val="single"/>
          <w:lang w:val="es-ES_tradnl"/>
        </w:rPr>
      </w:pPr>
    </w:p>
    <w:p w14:paraId="5CBF607C" w14:textId="77777777" w:rsidR="005A3652" w:rsidRPr="00D227BA" w:rsidRDefault="00D227BA">
      <w:pPr>
        <w:spacing w:after="200" w:line="288" w:lineRule="auto"/>
        <w:rPr>
          <w:rFonts w:asciiTheme="minorHAnsi" w:hAnsiTheme="minorHAnsi"/>
          <w:color w:val="000000"/>
          <w:lang w:val="es-ES_tradnl"/>
        </w:rPr>
      </w:pPr>
      <w:r w:rsidRPr="00D227BA">
        <w:rPr>
          <w:rFonts w:asciiTheme="minorHAnsi" w:hAnsiTheme="minorHAnsi"/>
          <w:color w:val="000000"/>
          <w:lang w:val="es-ES_tradnl"/>
        </w:rPr>
        <w:t>Este último ciclo ha sido bastante intenso sobre todo para los chicos, considero que se han cumplido con las expectativas del cliente, se le han dedicado al proyecto más de las horas estimadas y se ha hecho todo lo posible para satisfacer a nuestro instructor.</w:t>
      </w:r>
    </w:p>
    <w:p w14:paraId="34E56524" w14:textId="77777777" w:rsidR="005A3652" w:rsidRPr="00D227BA" w:rsidRDefault="00D227BA">
      <w:pPr>
        <w:spacing w:after="200" w:line="288" w:lineRule="auto"/>
        <w:rPr>
          <w:rFonts w:asciiTheme="minorHAnsi" w:hAnsiTheme="minorHAnsi"/>
          <w:color w:val="000000"/>
          <w:lang w:val="es-ES_tradnl"/>
        </w:rPr>
      </w:pPr>
      <w:r w:rsidRPr="00D227BA">
        <w:rPr>
          <w:rFonts w:asciiTheme="minorHAnsi" w:hAnsiTheme="minorHAnsi"/>
          <w:color w:val="000000"/>
          <w:lang w:val="es-ES_tradnl"/>
        </w:rPr>
        <w:tab/>
        <w:t xml:space="preserve">Ha sido una experiencia memorable, ya que ha sido uno de los tantos grupos que he estado, donde todos los miembros han trabajado bastante, esto se debe también al status </w:t>
      </w:r>
      <w:proofErr w:type="spellStart"/>
      <w:r w:rsidRPr="00D227BA">
        <w:rPr>
          <w:rFonts w:asciiTheme="minorHAnsi" w:hAnsiTheme="minorHAnsi"/>
          <w:color w:val="000000"/>
          <w:lang w:val="es-ES_tradnl"/>
        </w:rPr>
        <w:t>meeting</w:t>
      </w:r>
      <w:proofErr w:type="spellEnd"/>
      <w:r w:rsidRPr="00D227BA">
        <w:rPr>
          <w:rFonts w:asciiTheme="minorHAnsi" w:hAnsiTheme="minorHAnsi"/>
          <w:color w:val="000000"/>
          <w:lang w:val="es-ES_tradnl"/>
        </w:rPr>
        <w:t xml:space="preserve"> que se realizan semanalmente con la finalidad de que todos los participantes del grupo estén activos en el proyecto y muestren sus avances durante la semana.</w:t>
      </w:r>
    </w:p>
    <w:p w14:paraId="5F65E5BA" w14:textId="77777777" w:rsidR="005A3652" w:rsidRPr="00D227BA" w:rsidRDefault="005A3652">
      <w:pPr>
        <w:rPr>
          <w:rFonts w:asciiTheme="minorHAnsi" w:hAnsiTheme="minorHAnsi"/>
          <w:lang w:val="es-ES_tradnl"/>
        </w:rPr>
      </w:pPr>
    </w:p>
    <w:p w14:paraId="632AEDA1" w14:textId="77777777" w:rsidR="005A3652" w:rsidRPr="00D227BA" w:rsidRDefault="00D227BA">
      <w:pPr>
        <w:rPr>
          <w:rFonts w:asciiTheme="minorHAnsi" w:hAnsiTheme="minorHAnsi"/>
          <w:b/>
          <w:u w:val="single"/>
          <w:lang w:val="es-ES_tradnl"/>
        </w:rPr>
      </w:pPr>
      <w:proofErr w:type="spellStart"/>
      <w:r w:rsidRPr="00D227BA">
        <w:rPr>
          <w:rFonts w:asciiTheme="minorHAnsi" w:hAnsiTheme="minorHAnsi"/>
          <w:b/>
          <w:u w:val="single"/>
          <w:lang w:val="es-ES_tradnl"/>
        </w:rPr>
        <w:t>Support</w:t>
      </w:r>
      <w:proofErr w:type="spellEnd"/>
      <w:r w:rsidRPr="00D227BA">
        <w:rPr>
          <w:rFonts w:asciiTheme="minorHAnsi" w:hAnsiTheme="minorHAnsi"/>
          <w:b/>
          <w:u w:val="single"/>
          <w:lang w:val="es-ES_tradnl"/>
        </w:rPr>
        <w:t xml:space="preserve"> Manager</w:t>
      </w:r>
    </w:p>
    <w:p w14:paraId="00EB2A42" w14:textId="77777777" w:rsidR="005A3652" w:rsidRPr="00D227BA" w:rsidRDefault="005A3652">
      <w:pPr>
        <w:rPr>
          <w:rFonts w:asciiTheme="minorHAnsi" w:hAnsiTheme="minorHAnsi"/>
          <w:lang w:val="es-ES_tradnl"/>
        </w:rPr>
      </w:pPr>
    </w:p>
    <w:p w14:paraId="7B82505E" w14:textId="57F6DB5D" w:rsidR="005A3652" w:rsidRPr="00147676" w:rsidRDefault="00147676">
      <w:pPr>
        <w:rPr>
          <w:lang w:val="es-ES_tradnl"/>
        </w:rPr>
      </w:pPr>
      <w:r w:rsidRPr="00147676">
        <w:rPr>
          <w:rFonts w:cs="Times"/>
          <w:lang w:val="es-ES_tradnl"/>
        </w:rPr>
        <w:t xml:space="preserve">En este último ciclo todos dieron lo mejor que </w:t>
      </w:r>
      <w:r w:rsidRPr="00147676">
        <w:rPr>
          <w:rFonts w:cs="Times"/>
          <w:lang w:val="es-ES_tradnl"/>
        </w:rPr>
        <w:t>disponía</w:t>
      </w:r>
      <w:bookmarkStart w:id="1" w:name="_GoBack"/>
      <w:bookmarkEnd w:id="1"/>
      <w:r w:rsidRPr="00147676">
        <w:rPr>
          <w:rFonts w:cs="Times"/>
          <w:lang w:val="es-ES_tradnl"/>
        </w:rPr>
        <w:t xml:space="preserve"> cada persona, tuvimos en cuenta los riesgo y problemas que podría evitarse en todo este ciclo aunque no pudimos completarla por la presión de las otras materias de la Universidad porque estamos en la semana de entrega de proyectos y examines, aún así logramos cumplir más del 90% del Proyecto con la limitación de que sólo le teníamos un ciclo para codeo y testeo del Proyecto.</w:t>
      </w:r>
    </w:p>
    <w:sectPr w:rsidR="005A3652" w:rsidRPr="00147676">
      <w:pgSz w:w="11906" w:h="16838"/>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SimSun">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Liberation Sans">
    <w:altName w:val="Arial"/>
    <w:charset w:val="01"/>
    <w:family w:val="swiss"/>
    <w:pitch w:val="variable"/>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5A3652"/>
    <w:rsid w:val="00147676"/>
    <w:rsid w:val="005A3652"/>
    <w:rsid w:val="00D22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BA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SimSun"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3E1844"/>
    <w:rPr>
      <w:rFonts w:ascii="Lucida Grande" w:hAnsi="Lucida Grande"/>
      <w:sz w:val="18"/>
      <w:szCs w:val="18"/>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link w:val="BalloonTextChar"/>
    <w:uiPriority w:val="99"/>
    <w:semiHidden/>
    <w:unhideWhenUsed/>
    <w:rsid w:val="003E184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18"/>
  <c:chart>
    <c:title>
      <c:tx>
        <c:rich>
          <a:bodyPr/>
          <a:lstStyle/>
          <a:p>
            <a:pPr>
              <a:defRPr/>
            </a:pPr>
            <a:r>
              <a:rPr lang="en-US" sz="1300">
                <a:latin typeface="Arial"/>
              </a:rPr>
              <a:t>Horas Estimadas vs Horas Trabajadas</a:t>
            </a:r>
          </a:p>
        </c:rich>
      </c:tx>
      <c:layout/>
      <c:overlay val="1"/>
    </c:title>
    <c:autoTitleDeleted val="0"/>
    <c:plotArea>
      <c:layout/>
      <c:barChart>
        <c:barDir val="col"/>
        <c:grouping val="clustered"/>
        <c:varyColors val="1"/>
        <c:ser>
          <c:idx val="0"/>
          <c:order val="0"/>
          <c:tx>
            <c:strRef>
              <c:f>label 0</c:f>
              <c:strCache>
                <c:ptCount val="1"/>
                <c:pt idx="0">
                  <c:v>Horas Estimadas</c:v>
                </c:pt>
              </c:strCache>
            </c:strRef>
          </c:tx>
          <c:spPr>
            <a:solidFill>
              <a:srgbClr val="FF420E"/>
            </a:solidFill>
            <a:ln>
              <a:noFill/>
            </a:ln>
          </c:spPr>
          <c:invertIfNegative val="1"/>
          <c:cat>
            <c:strRef>
              <c:f>categories</c:f>
              <c:strCache>
                <c:ptCount val="4"/>
                <c:pt idx="0">
                  <c:v>10</c:v>
                </c:pt>
                <c:pt idx="1">
                  <c:v>10</c:v>
                </c:pt>
                <c:pt idx="2">
                  <c:v>10</c:v>
                </c:pt>
                <c:pt idx="3">
                  <c:v>10</c:v>
                </c:pt>
              </c:strCache>
            </c:strRef>
          </c:cat>
          <c:val>
            <c:numRef>
              <c:f>0</c:f>
              <c:numCache>
                <c:formatCode>General</c:formatCode>
                <c:ptCount val="4"/>
                <c:pt idx="0">
                  <c:v>37.0</c:v>
                </c:pt>
                <c:pt idx="1">
                  <c:v>35.0</c:v>
                </c:pt>
                <c:pt idx="2">
                  <c:v>37.0</c:v>
                </c:pt>
                <c:pt idx="3">
                  <c:v>0.0</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ser>
          <c:idx val="1"/>
          <c:order val="1"/>
          <c:tx>
            <c:strRef>
              <c:f>label 2</c:f>
              <c:strCache>
                <c:ptCount val="1"/>
                <c:pt idx="0">
                  <c:v>Horas Trabajadas</c:v>
                </c:pt>
              </c:strCache>
            </c:strRef>
          </c:tx>
          <c:spPr>
            <a:solidFill>
              <a:srgbClr val="004586"/>
            </a:solidFill>
            <a:ln>
              <a:noFill/>
            </a:ln>
          </c:spPr>
          <c:invertIfNegative val="1"/>
          <c:cat>
            <c:strRef>
              <c:f>categories</c:f>
              <c:strCache>
                <c:ptCount val="4"/>
                <c:pt idx="0">
                  <c:v>10</c:v>
                </c:pt>
                <c:pt idx="1">
                  <c:v>10</c:v>
                </c:pt>
                <c:pt idx="2">
                  <c:v>10</c:v>
                </c:pt>
                <c:pt idx="3">
                  <c:v>10</c:v>
                </c:pt>
              </c:strCache>
            </c:strRef>
          </c:cat>
          <c:val>
            <c:numRef>
              <c:f>2</c:f>
              <c:numCache>
                <c:formatCode>General</c:formatCode>
                <c:ptCount val="4"/>
                <c:pt idx="0">
                  <c:v>11.7333333333333</c:v>
                </c:pt>
                <c:pt idx="1">
                  <c:v>28.68333333333328</c:v>
                </c:pt>
                <c:pt idx="2">
                  <c:v>58.7833333333333</c:v>
                </c:pt>
                <c:pt idx="3">
                  <c:v>27.58333333333328</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dLbls>
          <c:showLegendKey val="0"/>
          <c:showVal val="0"/>
          <c:showCatName val="0"/>
          <c:showSerName val="0"/>
          <c:showPercent val="0"/>
          <c:showBubbleSize val="0"/>
        </c:dLbls>
        <c:gapWidth val="100"/>
        <c:axId val="2124031480"/>
        <c:axId val="2087730600"/>
      </c:barChart>
      <c:catAx>
        <c:axId val="2124031480"/>
        <c:scaling>
          <c:orientation val="minMax"/>
        </c:scaling>
        <c:delete val="0"/>
        <c:axPos val="b"/>
        <c:majorTickMark val="out"/>
        <c:minorTickMark val="none"/>
        <c:tickLblPos val="nextTo"/>
        <c:spPr>
          <a:ln>
            <a:solidFill>
              <a:srgbClr val="B3B3B3"/>
            </a:solidFill>
          </a:ln>
        </c:spPr>
        <c:crossAx val="2087730600"/>
        <c:crossesAt val="0.0"/>
        <c:auto val="1"/>
        <c:lblAlgn val="ctr"/>
        <c:lblOffset val="100"/>
        <c:noMultiLvlLbl val="1"/>
      </c:catAx>
      <c:valAx>
        <c:axId val="2087730600"/>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crossAx val="2124031480"/>
        <c:crossesAt val="0.0"/>
        <c:crossBetween val="between"/>
      </c:valAx>
      <c:spPr>
        <a:noFill/>
        <a:ln>
          <a:solidFill>
            <a:srgbClr val="B3B3B3"/>
          </a:solidFill>
        </a:ln>
      </c:spPr>
    </c:plotArea>
    <c:legend>
      <c:legendPos val="r"/>
      <c:layout/>
      <c:overlay val="0"/>
      <c:spPr>
        <a:noFill/>
        <a:ln>
          <a:noFill/>
        </a:ln>
      </c:spPr>
    </c:legend>
    <c:plotVisOnly val="1"/>
    <c:dispBlanksAs val="zero"/>
    <c:showDLblsOverMax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1"/>
  <c:style val="18"/>
  <c:chart>
    <c:title>
      <c:tx>
        <c:rich>
          <a:bodyPr/>
          <a:lstStyle/>
          <a:p>
            <a:pPr>
              <a:defRPr/>
            </a:pPr>
            <a:r>
              <a:rPr lang="en-US" sz="1300">
                <a:latin typeface="Arial"/>
              </a:rPr>
              <a:t>Ganancias Estimadas vs Ganancias Obtenidas</a:t>
            </a:r>
          </a:p>
        </c:rich>
      </c:tx>
      <c:layout/>
      <c:overlay val="1"/>
    </c:title>
    <c:autoTitleDeleted val="0"/>
    <c:plotArea>
      <c:layout/>
      <c:lineChart>
        <c:grouping val="standard"/>
        <c:varyColors val="1"/>
        <c:ser>
          <c:idx val="0"/>
          <c:order val="0"/>
          <c:tx>
            <c:strRef>
              <c:f>label 0</c:f>
              <c:strCache>
                <c:ptCount val="1"/>
                <c:pt idx="0">
                  <c:v>Porcentaje acumulado de ganancias estimadas</c:v>
                </c:pt>
              </c:strCache>
            </c:strRef>
          </c:tx>
          <c:spPr>
            <a:ln w="28800">
              <a:solidFill>
                <a:srgbClr val="004586"/>
              </a:solidFill>
              <a:round/>
            </a:ln>
          </c:spPr>
          <c:marker>
            <c:symbol val="diamond"/>
            <c:size val="7"/>
          </c:marker>
          <c:dLbls>
            <c:showLegendKey val="0"/>
            <c:showVal val="0"/>
            <c:showCatName val="0"/>
            <c:showSerName val="0"/>
            <c:showPercent val="0"/>
            <c:showBubbleSize val="1"/>
            <c:showLeaderLines val="0"/>
          </c:dLbls>
          <c:cat>
            <c:strRef>
              <c:f>categories</c:f>
              <c:strCache>
                <c:ptCount val="11"/>
                <c:pt idx="4">
                  <c:v>10</c:v>
                </c:pt>
                <c:pt idx="5">
                  <c:v>10</c:v>
                </c:pt>
                <c:pt idx="6">
                  <c:v>10</c:v>
                </c:pt>
                <c:pt idx="7">
                  <c:v>10</c:v>
                </c:pt>
                <c:pt idx="8">
                  <c:v>10</c:v>
                </c:pt>
                <c:pt idx="9">
                  <c:v>10</c:v>
                </c:pt>
                <c:pt idx="10">
                  <c:v>10</c:v>
                </c:pt>
              </c:strCache>
            </c:strRef>
          </c:cat>
          <c:val>
            <c:numRef>
              <c:f>0</c:f>
              <c:numCache>
                <c:formatCode>General</c:formatCode>
                <c:ptCount val="11"/>
                <c:pt idx="0">
                  <c:v>0.0825396825396825</c:v>
                </c:pt>
                <c:pt idx="1">
                  <c:v>0.141269841269841</c:v>
                </c:pt>
                <c:pt idx="2">
                  <c:v>0.23015873015873</c:v>
                </c:pt>
                <c:pt idx="3">
                  <c:v>0.341269841269841</c:v>
                </c:pt>
                <c:pt idx="4">
                  <c:v>0.447619047619048</c:v>
                </c:pt>
                <c:pt idx="5">
                  <c:v>0.550793650793651</c:v>
                </c:pt>
                <c:pt idx="6">
                  <c:v>0.653968253968254</c:v>
                </c:pt>
                <c:pt idx="7">
                  <c:v>0.771428571428571</c:v>
                </c:pt>
                <c:pt idx="8">
                  <c:v>0.882539682539682</c:v>
                </c:pt>
                <c:pt idx="9">
                  <c:v>1.0</c:v>
                </c:pt>
                <c:pt idx="10">
                  <c:v>1.0</c:v>
                </c:pt>
              </c:numCache>
            </c:numRef>
          </c:val>
          <c:smooth val="1"/>
        </c:ser>
        <c:ser>
          <c:idx val="1"/>
          <c:order val="1"/>
          <c:tx>
            <c:strRef>
              <c:f>label 1</c:f>
              <c:strCache>
                <c:ptCount val="1"/>
                <c:pt idx="0">
                  <c:v>Porcentaje acumulado de ganancias obtenidas</c:v>
                </c:pt>
              </c:strCache>
            </c:strRef>
          </c:tx>
          <c:spPr>
            <a:ln w="28800">
              <a:solidFill>
                <a:srgbClr val="FF420E"/>
              </a:solidFill>
              <a:round/>
            </a:ln>
          </c:spPr>
          <c:marker>
            <c:symbol val="square"/>
            <c:size val="7"/>
          </c:marker>
          <c:dLbls>
            <c:showLegendKey val="0"/>
            <c:showVal val="0"/>
            <c:showCatName val="0"/>
            <c:showSerName val="0"/>
            <c:showPercent val="0"/>
            <c:showBubbleSize val="1"/>
            <c:showLeaderLines val="0"/>
          </c:dLbls>
          <c:cat>
            <c:strRef>
              <c:f>categories</c:f>
              <c:strCache>
                <c:ptCount val="11"/>
                <c:pt idx="4">
                  <c:v>10</c:v>
                </c:pt>
                <c:pt idx="5">
                  <c:v>10</c:v>
                </c:pt>
                <c:pt idx="6">
                  <c:v>10</c:v>
                </c:pt>
                <c:pt idx="7">
                  <c:v>10</c:v>
                </c:pt>
                <c:pt idx="8">
                  <c:v>10</c:v>
                </c:pt>
                <c:pt idx="9">
                  <c:v>10</c:v>
                </c:pt>
                <c:pt idx="10">
                  <c:v>10</c:v>
                </c:pt>
              </c:strCache>
            </c:strRef>
          </c:cat>
          <c:val>
            <c:numRef>
              <c:f>1</c:f>
              <c:numCache>
                <c:formatCode>General</c:formatCode>
                <c:ptCount val="11"/>
                <c:pt idx="0">
                  <c:v>0.0730158730158731</c:v>
                </c:pt>
                <c:pt idx="1">
                  <c:v>0.115873015873016</c:v>
                </c:pt>
                <c:pt idx="2">
                  <c:v>0.23015873015873</c:v>
                </c:pt>
                <c:pt idx="3">
                  <c:v>0.30952380952381</c:v>
                </c:pt>
                <c:pt idx="4">
                  <c:v>0.43968253968254</c:v>
                </c:pt>
                <c:pt idx="5">
                  <c:v>0.501587301587302</c:v>
                </c:pt>
                <c:pt idx="6">
                  <c:v>0.617460317460318</c:v>
                </c:pt>
                <c:pt idx="7">
                  <c:v>0.657142857142858</c:v>
                </c:pt>
                <c:pt idx="8">
                  <c:v>0.733333333333334</c:v>
                </c:pt>
                <c:pt idx="9">
                  <c:v>0.882539682539683</c:v>
                </c:pt>
                <c:pt idx="10">
                  <c:v>0.917460317460318</c:v>
                </c:pt>
              </c:numCache>
            </c:numRef>
          </c:val>
          <c:smooth val="1"/>
        </c:ser>
        <c:dLbls>
          <c:showLegendKey val="0"/>
          <c:showVal val="0"/>
          <c:showCatName val="0"/>
          <c:showSerName val="0"/>
          <c:showPercent val="0"/>
          <c:showBubbleSize val="0"/>
        </c:dLbls>
        <c:marker val="1"/>
        <c:smooth val="0"/>
        <c:axId val="2123784856"/>
        <c:axId val="2123788088"/>
      </c:lineChart>
      <c:catAx>
        <c:axId val="2123784856"/>
        <c:scaling>
          <c:orientation val="minMax"/>
        </c:scaling>
        <c:delete val="0"/>
        <c:axPos val="b"/>
        <c:majorTickMark val="out"/>
        <c:minorTickMark val="none"/>
        <c:tickLblPos val="nextTo"/>
        <c:spPr>
          <a:ln>
            <a:solidFill>
              <a:srgbClr val="B3B3B3"/>
            </a:solidFill>
          </a:ln>
        </c:spPr>
        <c:crossAx val="2123788088"/>
        <c:crossesAt val="0.0"/>
        <c:auto val="1"/>
        <c:lblAlgn val="ctr"/>
        <c:lblOffset val="100"/>
        <c:noMultiLvlLbl val="1"/>
      </c:catAx>
      <c:valAx>
        <c:axId val="2123788088"/>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crossAx val="2123784856"/>
        <c:crossesAt val="0.0"/>
        <c:crossBetween val="between"/>
      </c:valAx>
      <c:spPr>
        <a:noFill/>
        <a:ln>
          <a:solidFill>
            <a:srgbClr val="B3B3B3"/>
          </a:solidFill>
        </a:ln>
      </c:spPr>
    </c:plotArea>
    <c:legend>
      <c:legendPos val="r"/>
      <c:layout/>
      <c:overlay val="0"/>
      <c:spPr>
        <a:noFill/>
        <a:ln>
          <a:noFill/>
        </a:ln>
      </c:spPr>
    </c:legend>
    <c:plotVisOnly val="1"/>
    <c:dispBlanksAs val="zero"/>
    <c:showDLblsOverMax val="1"/>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1"/>
  <c:style val="18"/>
  <c:chart>
    <c:title>
      <c:tx>
        <c:rich>
          <a:bodyPr/>
          <a:lstStyle/>
          <a:p>
            <a:pPr>
              <a:defRPr/>
            </a:pPr>
            <a:r>
              <a:rPr lang="en-US" sz="1300">
                <a:latin typeface="Arial"/>
              </a:rPr>
              <a:t>Ganancias Estimadas vs Ganancias Obtenidas</a:t>
            </a:r>
          </a:p>
        </c:rich>
      </c:tx>
      <c:layout/>
      <c:overlay val="1"/>
    </c:title>
    <c:autoTitleDeleted val="0"/>
    <c:plotArea>
      <c:layout/>
      <c:lineChart>
        <c:grouping val="standard"/>
        <c:varyColors val="1"/>
        <c:ser>
          <c:idx val="0"/>
          <c:order val="0"/>
          <c:tx>
            <c:strRef>
              <c:f>label 0</c:f>
              <c:strCache>
                <c:ptCount val="1"/>
                <c:pt idx="0">
                  <c:v>Porcentaje acumulado de ganancias estimadas</c:v>
                </c:pt>
              </c:strCache>
            </c:strRef>
          </c:tx>
          <c:spPr>
            <a:ln w="28800">
              <a:solidFill>
                <a:srgbClr val="004586"/>
              </a:solidFill>
              <a:round/>
            </a:ln>
          </c:spPr>
          <c:marker>
            <c:symbol val="diamond"/>
            <c:size val="7"/>
          </c:marker>
          <c:dLbls>
            <c:showLegendKey val="0"/>
            <c:showVal val="0"/>
            <c:showCatName val="0"/>
            <c:showSerName val="0"/>
            <c:showPercent val="0"/>
            <c:showBubbleSize val="1"/>
            <c:showLeaderLines val="0"/>
          </c:dLbls>
          <c:cat>
            <c:strRef>
              <c:f>categories</c:f>
              <c:strCache>
                <c:ptCount val="11"/>
                <c:pt idx="4">
                  <c:v>10</c:v>
                </c:pt>
                <c:pt idx="5">
                  <c:v>10</c:v>
                </c:pt>
                <c:pt idx="6">
                  <c:v>10</c:v>
                </c:pt>
                <c:pt idx="7">
                  <c:v>10</c:v>
                </c:pt>
                <c:pt idx="8">
                  <c:v>10</c:v>
                </c:pt>
                <c:pt idx="9">
                  <c:v>10</c:v>
                </c:pt>
                <c:pt idx="10">
                  <c:v>10</c:v>
                </c:pt>
              </c:strCache>
            </c:strRef>
          </c:cat>
          <c:val>
            <c:numRef>
              <c:f>0</c:f>
              <c:numCache>
                <c:formatCode>General</c:formatCode>
                <c:ptCount val="11"/>
                <c:pt idx="0">
                  <c:v>0.0825396825396825</c:v>
                </c:pt>
                <c:pt idx="1">
                  <c:v>0.141269841269841</c:v>
                </c:pt>
                <c:pt idx="2">
                  <c:v>0.23015873015873</c:v>
                </c:pt>
                <c:pt idx="3">
                  <c:v>0.341269841269841</c:v>
                </c:pt>
                <c:pt idx="4">
                  <c:v>0.447619047619048</c:v>
                </c:pt>
                <c:pt idx="5">
                  <c:v>0.550793650793651</c:v>
                </c:pt>
                <c:pt idx="6">
                  <c:v>0.653968253968254</c:v>
                </c:pt>
                <c:pt idx="7">
                  <c:v>0.771428571428571</c:v>
                </c:pt>
                <c:pt idx="8">
                  <c:v>0.882539682539682</c:v>
                </c:pt>
                <c:pt idx="9">
                  <c:v>1.0</c:v>
                </c:pt>
                <c:pt idx="10">
                  <c:v>1.0</c:v>
                </c:pt>
              </c:numCache>
            </c:numRef>
          </c:val>
          <c:smooth val="1"/>
        </c:ser>
        <c:ser>
          <c:idx val="1"/>
          <c:order val="1"/>
          <c:tx>
            <c:strRef>
              <c:f>label 1</c:f>
              <c:strCache>
                <c:ptCount val="1"/>
                <c:pt idx="0">
                  <c:v>Porcentaje acumulado de ganancias obtenidas</c:v>
                </c:pt>
              </c:strCache>
            </c:strRef>
          </c:tx>
          <c:spPr>
            <a:ln w="28800">
              <a:solidFill>
                <a:srgbClr val="FF420E"/>
              </a:solidFill>
              <a:round/>
            </a:ln>
          </c:spPr>
          <c:marker>
            <c:symbol val="square"/>
            <c:size val="7"/>
          </c:marker>
          <c:dLbls>
            <c:showLegendKey val="0"/>
            <c:showVal val="0"/>
            <c:showCatName val="0"/>
            <c:showSerName val="0"/>
            <c:showPercent val="0"/>
            <c:showBubbleSize val="1"/>
            <c:showLeaderLines val="0"/>
          </c:dLbls>
          <c:cat>
            <c:strRef>
              <c:f>categories</c:f>
              <c:strCache>
                <c:ptCount val="11"/>
                <c:pt idx="4">
                  <c:v>10</c:v>
                </c:pt>
                <c:pt idx="5">
                  <c:v>10</c:v>
                </c:pt>
                <c:pt idx="6">
                  <c:v>10</c:v>
                </c:pt>
                <c:pt idx="7">
                  <c:v>10</c:v>
                </c:pt>
                <c:pt idx="8">
                  <c:v>10</c:v>
                </c:pt>
                <c:pt idx="9">
                  <c:v>10</c:v>
                </c:pt>
                <c:pt idx="10">
                  <c:v>10</c:v>
                </c:pt>
              </c:strCache>
            </c:strRef>
          </c:cat>
          <c:val>
            <c:numRef>
              <c:f>1</c:f>
              <c:numCache>
                <c:formatCode>General</c:formatCode>
                <c:ptCount val="11"/>
                <c:pt idx="0">
                  <c:v>0.0730158730158731</c:v>
                </c:pt>
                <c:pt idx="1">
                  <c:v>0.115873015873016</c:v>
                </c:pt>
                <c:pt idx="2">
                  <c:v>0.23015873015873</c:v>
                </c:pt>
                <c:pt idx="3">
                  <c:v>0.30952380952381</c:v>
                </c:pt>
                <c:pt idx="4">
                  <c:v>0.43968253968254</c:v>
                </c:pt>
                <c:pt idx="5">
                  <c:v>0.501587301587302</c:v>
                </c:pt>
                <c:pt idx="6">
                  <c:v>0.617460317460318</c:v>
                </c:pt>
                <c:pt idx="7">
                  <c:v>0.657142857142858</c:v>
                </c:pt>
                <c:pt idx="8">
                  <c:v>0.733333333333334</c:v>
                </c:pt>
                <c:pt idx="9">
                  <c:v>0.882539682539683</c:v>
                </c:pt>
                <c:pt idx="10">
                  <c:v>0.917460317460318</c:v>
                </c:pt>
              </c:numCache>
            </c:numRef>
          </c:val>
          <c:smooth val="1"/>
        </c:ser>
        <c:dLbls>
          <c:showLegendKey val="0"/>
          <c:showVal val="0"/>
          <c:showCatName val="0"/>
          <c:showSerName val="0"/>
          <c:showPercent val="0"/>
          <c:showBubbleSize val="0"/>
        </c:dLbls>
        <c:marker val="1"/>
        <c:smooth val="0"/>
        <c:axId val="2134750504"/>
        <c:axId val="2124111720"/>
      </c:lineChart>
      <c:catAx>
        <c:axId val="2134750504"/>
        <c:scaling>
          <c:orientation val="minMax"/>
        </c:scaling>
        <c:delete val="0"/>
        <c:axPos val="b"/>
        <c:majorTickMark val="out"/>
        <c:minorTickMark val="none"/>
        <c:tickLblPos val="nextTo"/>
        <c:spPr>
          <a:ln>
            <a:solidFill>
              <a:srgbClr val="B3B3B3"/>
            </a:solidFill>
          </a:ln>
        </c:spPr>
        <c:crossAx val="2124111720"/>
        <c:crossesAt val="0.0"/>
        <c:auto val="1"/>
        <c:lblAlgn val="ctr"/>
        <c:lblOffset val="100"/>
        <c:noMultiLvlLbl val="1"/>
      </c:catAx>
      <c:valAx>
        <c:axId val="2124111720"/>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crossAx val="2134750504"/>
        <c:crossesAt val="0.0"/>
        <c:crossBetween val="between"/>
      </c:valAx>
      <c:spPr>
        <a:noFill/>
        <a:ln>
          <a:solidFill>
            <a:srgbClr val="B3B3B3"/>
          </a:solidFill>
        </a:ln>
      </c:spPr>
    </c:plotArea>
    <c:legend>
      <c:legendPos val="r"/>
      <c:layout/>
      <c:overlay val="0"/>
      <c:spPr>
        <a:noFill/>
        <a:ln>
          <a:noFill/>
        </a:ln>
      </c:spPr>
    </c:legend>
    <c:plotVisOnly val="1"/>
    <c:dispBlanksAs val="zero"/>
    <c:showDLblsOverMax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504</Words>
  <Characters>2877</Characters>
  <Application>Microsoft Macintosh Word</Application>
  <DocSecurity>0</DocSecurity>
  <Lines>23</Lines>
  <Paragraphs>6</Paragraphs>
  <ScaleCrop>false</ScaleCrop>
  <Company>Aliensoft</Company>
  <LinksUpToDate>false</LinksUpToDate>
  <CharactersWithSpaces>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Alvarez</dc:creator>
  <cp:lastModifiedBy>Alan Alvarez</cp:lastModifiedBy>
  <cp:revision>8</cp:revision>
  <dcterms:created xsi:type="dcterms:W3CDTF">2014-11-20T18:30:00Z</dcterms:created>
  <dcterms:modified xsi:type="dcterms:W3CDTF">2014-12-04T20:32:00Z</dcterms:modified>
  <dc:language>en-US</dc:language>
</cp:coreProperties>
</file>