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1F3864"/>
          <w:sz w:val="44"/>
          <w:szCs w:val="44"/>
        </w:rPr>
        <w:t xml:space="preserve">MinXray / Qure.ai (qXR, qER, qTrack) Integration</w:t>
      </w:r>
    </w:p>
    <w:p>
      <w:pPr>
        <w:spacing w:after="400"/>
        <w:jc w:val="center"/>
      </w:pPr>
      <w:r>
        <w:rPr>
          <w:color w:val="0E7C86"/>
          <w:sz w:val="30"/>
          <w:szCs w:val="30"/>
        </w:rPr>
        <w:t xml:space="preserve">Reference Document &amp; Open Questions Log</w:t>
      </w:r>
    </w:p>
    <w:p>
      <w:pPr>
        <w:spacing w:after="100"/>
        <w:jc w:val="center"/>
      </w:pPr>
      <w:r>
        <w:rPr>
          <w:i/>
          <w:iCs/>
          <w:color w:val="666666"/>
          <w:sz w:val="22"/>
          <w:szCs w:val="22"/>
        </w:rPr>
        <w:t xml:space="preserve">Prepared for internal review — integration lab planning</w:t>
      </w:r>
    </w:p>
    <w:p>
      <w:pPr>
        <w:spacing w:after="60"/>
        <w:jc w:val="center"/>
      </w:pPr>
      <w:r>
        <w:rPr>
          <w:color w:val="666666"/>
          <w:sz w:val="20"/>
          <w:szCs w:val="20"/>
        </w:rPr>
        <w:t xml:space="preserve">Compiled from Qure.ai public documentation, the qXR Instructions for Use (v4.2, Sept 2024), the qTrack on-premise user manual, and hands-on verification (Docker Hub credential test, live doc revision checks).</w:t>
      </w:r>
    </w:p>
    <w:p>
      <w:pPr>
        <w:spacing w:before="800"/>
        <w:jc w:val="center"/>
      </w:pPr>
      <w:r>
        <w:rPr>
          <w:i/>
          <w:iCs/>
          <w:color w:val="C0392B"/>
          <w:sz w:val="18"/>
          <w:szCs w:val="18"/>
        </w:rPr>
        <w:t xml:space="preserve">This document reflects research and inference from vendor materials as of August 2026. Several items are unconfirmed and are flagged as open questions in Appendix A — none of this should be treated as authoritative until verified with Qure's technical contact.</w:t>
      </w:r>
    </w:p>
    <w:p>
      <w:r>
        <w:br/>
        <w:t xml:space="preserve"/>
      </w:r>
    </w:p>
    <w:p>
      <w:pPr>
        <w:pageBreakBefore/>
      </w:pPr>
    </w:p>
    <w:p>
      <w:pPr>
        <w:pStyle w:val="Heading1"/>
        <w:pBdr>
          <w:bottom w:val="single" w:color="1F3864" w:sz="6" w:space="4"/>
        </w:pBdr>
        <w:spacing w:after="160" w:before="360"/>
      </w:pPr>
      <w:r>
        <w:rPr>
          <w:b/>
          <w:bCs/>
          <w:color w:val="1F3864"/>
        </w:rPr>
        <w:t xml:space="preserve">1. Purpose &amp; Scope</w:t>
      </w:r>
    </w:p>
    <w:p>
      <w:pPr>
        <w:spacing w:after="160" w:line="276"/>
      </w:pPr>
      <w:r>
        <w:t xml:space="preserve">This document consolidates everything established during a multi-session research effort into how MinXray's portable X-ray hardware, its MinXView acquisition software, and Qure.ai's AI products (qXR, qER) and program-management platform (qTrack) fit together — and specifically how DICOM studies, patient data, and AI results move between them and an institution's PACS.</w:t>
      </w:r>
    </w:p>
    <w:p>
      <w:pPr>
        <w:spacing w:after="160" w:line="276"/>
      </w:pPr>
      <w:r>
        <w:t xml:space="preserve">It exists to (a) give a non-technical stakeholder a fast, accurate picture of the system, (b) give the integration lab team a single technical reference instead of scattered chat history, and (c) hand the Qure technical contact a tight, specific list of open questions rather than starting the relationship from zero.</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Qure.ai makes AI software that reads chest X-rays (qXR) and head CT scans (qER) to flag likely abnormalities — most notably tuberculosis on chest X-ray. qTrack is a separate, related tool for running and tracking a TB screening program (patient registration, forms, lab results, dashboards). MinXray builds the portable X-ray hardware and bundles Qure's software onto the acquisition laptop.</w:t>
            </w:r>
          </w:p>
          <w:p>
            <w:pPr>
              <w:spacing w:after="80" w:line="264"/>
            </w:pPr>
            <w:r>
              <w:t xml:space="preserve">Two deployment models exist: (1) a cloud model where images go to Qure's servers for AI processing and results return to your PACS, and (2) a laptop/field model (the one MinXray ships) that can process images locally without internet, syncing to the cloud only when a connection is available.</w:t>
            </w:r>
          </w:p>
          <w:p>
            <w:pPr>
              <w:spacing w:after="80" w:line="264"/>
            </w:pPr>
            <w:r>
              <w:t xml:space="preserve">A meaningful amount of Qure's public technical documentation is stale (one core page hadn't been updated in 3 years) and contains at least one no-longer-working credential. We now have a live technical contact at Qure — Appendix A is the list of things to confirm directly with them before relying on anything below for a production build.</w:t>
            </w:r>
          </w:p>
        </w:tc>
      </w:tr>
    </w:tbl>
    <w:p>
      <w:pPr>
        <w:pStyle w:val="Heading1"/>
        <w:pBdr>
          <w:bottom w:val="single" w:color="1F3864" w:sz="6" w:space="4"/>
        </w:pBdr>
        <w:spacing w:after="160" w:before="360"/>
      </w:pPr>
      <w:r>
        <w:rPr>
          <w:b/>
          <w:bCs/>
          <w:color w:val="1F3864"/>
        </w:rPr>
        <w:t xml:space="preserve">2. Executive Summary</w:t>
      </w:r>
    </w:p>
    <w:p>
      <w:pPr>
        <w:spacing w:after="160" w:line="276"/>
      </w:pPr>
      <w:r>
        <w:t xml:space="preserve">qXR and qER are AI “second reader” tools, not autonomous diagnosis. qXR screens chest X-rays for roughly 30 findings, most notably radiological signs of tuberculosis; qER screens non-contrast head CT for time-critical findings like hemorrhage and cranial fracture. Both are FDA 510(k)-cleared and/or CE-marked for their respective cleared indications, and both are explicitly labeled as requiring review and sign-off by a qualified clinician — the PDF report Qure generates carries a disclaimer that it is not to be used to determine a course of treatment without a practitioner's signature.</w:t>
      </w:r>
    </w:p>
    <w:p>
      <w:pPr>
        <w:spacing w:after="160" w:line="276"/>
      </w:pPr>
      <w:r>
        <w:t xml:space="preserve">The clinical workflow, in plain terms: a chest X-ray is acquired on a MinXray unit; the image is picked up by a small local relay program (“Gateway,” described in Section 5) and sent — either to Qure's cloud or to a local on-site server — for AI analysis; results come back as an annotated image and/or a text/PDF report and appear alongside the original study for the reading clinician. Patient identifying information is stripped out before the image leaves the local system and restored once results return, so the AI vendor is not persistently holding identified patient data in the cloud path.</w:t>
      </w:r>
    </w:p>
    <w:p>
      <w:pPr>
        <w:spacing w:after="160" w:line="276"/>
      </w:pPr>
      <w:r>
        <w:t xml:space="preserve">qTrack is the layer on top of this built specifically for TB screening programs: it manages patient registration in the field (including via a paired mobile phone), tracks a patient from X-ray screening through confirmatory lab testing (GeneXpert/CBNAAT) to treatment, and gives program staff a dashboard of screening activity. It can run entirely offline in the field and sync to a cloud dashboard opportunistically.</w:t>
      </w:r>
    </w:p>
    <w:p>
      <w:pPr>
        <w:spacing w:after="160" w:line="276"/>
      </w:pPr>
      <w:r>
        <w:t xml:space="preserve">Where things stand for this integration effort: we have verified the high-level architecture and the DICOM standards involved, but a number of specific technical details — which network ports are actually in use, what hardware a shipped laptop actually contains, whether a given output format is truly supported — are inconsistent between Qure's own documents or simply undocumented publicly. None of that is unusual for a specialized medical AI vendor's public-facing docs, but it does mean the next step is a working session with Qure's technical contact rather than further document review.</w:t>
      </w:r>
    </w:p>
    <w:p>
      <w:pPr>
        <w:pStyle w:val="Heading1"/>
        <w:pBdr>
          <w:bottom w:val="single" w:color="1F3864" w:sz="6" w:space="4"/>
        </w:pBdr>
        <w:spacing w:after="160" w:before="360"/>
      </w:pPr>
      <w:r>
        <w:rPr>
          <w:b/>
          <w:bCs/>
          <w:color w:val="1F3864"/>
        </w:rPr>
        <w:t xml:space="preserve">3. System Map — What Each Component Is</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Five names come up repeatedly and are easy to conflate. Short version: MinXray sells the hardware; MinXView drives it; Qure.ai App/qTrack are what a human looks at; Gateway (a.k.a. DCMIO) is the plumbing that moves images to the AI; qXR/qER are the AI itself.</w:t>
            </w:r>
          </w:p>
        </w:tc>
      </w:tr>
    </w:tbl>
    <w:p>
      <w:pPr>
        <w:spacing w:after="120"/>
      </w:pP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88"/>
        <w:gridCol w:w="4784"/>
        <w:gridCol w:w="2288"/>
      </w:tblGrid>
      <w:tr>
        <w:trPr>
          <w:tblHeader/>
        </w:trPr>
        <w:tc>
          <w:tcPr>
            <w:tcW w:type="dxa" w:w="2288"/>
            <w:shd w:fill="1F3864" w:color="auto" w:val="clear"/>
            <w:tcMar>
              <w:top w:type="dxa" w:w="100"/>
              <w:left w:type="dxa" w:w="120"/>
              <w:bottom w:type="dxa" w:w="100"/>
              <w:right w:type="dxa" w:w="120"/>
            </w:tcMar>
            <w:vAlign w:val="center"/>
          </w:tcPr>
          <w:p>
            <w:r>
              <w:rPr>
                <w:b/>
                <w:bCs/>
                <w:color w:val="FFFFFF"/>
                <w:sz w:val="19"/>
                <w:szCs w:val="19"/>
              </w:rPr>
              <w:t xml:space="preserve">Component</w:t>
            </w:r>
          </w:p>
        </w:tc>
        <w:tc>
          <w:tcPr>
            <w:tcW w:type="dxa" w:w="4784"/>
            <w:shd w:fill="1F3864" w:color="auto" w:val="clear"/>
            <w:tcMar>
              <w:top w:type="dxa" w:w="100"/>
              <w:left w:type="dxa" w:w="120"/>
              <w:bottom w:type="dxa" w:w="100"/>
              <w:right w:type="dxa" w:w="120"/>
            </w:tcMar>
            <w:vAlign w:val="center"/>
          </w:tcPr>
          <w:p>
            <w:r>
              <w:rPr>
                <w:b/>
                <w:bCs/>
                <w:color w:val="FFFFFF"/>
                <w:sz w:val="19"/>
                <w:szCs w:val="19"/>
              </w:rPr>
              <w:t xml:space="preserve">What it is</w:t>
            </w:r>
          </w:p>
        </w:tc>
        <w:tc>
          <w:tcPr>
            <w:tcW w:type="dxa" w:w="2288"/>
            <w:shd w:fill="1F3864" w:color="auto" w:val="clear"/>
            <w:tcMar>
              <w:top w:type="dxa" w:w="100"/>
              <w:left w:type="dxa" w:w="120"/>
              <w:bottom w:type="dxa" w:w="100"/>
              <w:right w:type="dxa" w:w="120"/>
            </w:tcMar>
            <w:vAlign w:val="center"/>
          </w:tcPr>
          <w:p>
            <w:r>
              <w:rPr>
                <w:b/>
                <w:bCs/>
                <w:color w:val="FFFFFF"/>
                <w:sz w:val="19"/>
                <w:szCs w:val="19"/>
              </w:rPr>
              <w:t xml:space="preserve">Runs where</w:t>
            </w:r>
          </w:p>
        </w:tc>
      </w:tr>
      <w:tr>
        <w:trPr>
          <w:cantSplit w:val="false"/>
        </w:trPr>
        <w:tc>
          <w:tcPr>
            <w:tcW w:type="dxa" w:w="2288"/>
            <w:shd w:fill="FFFFFF" w:color="auto" w:val="clear"/>
            <w:tcMar>
              <w:top w:type="dxa" w:w="90"/>
              <w:left w:type="dxa" w:w="120"/>
              <w:bottom w:type="dxa" w:w="90"/>
              <w:right w:type="dxa" w:w="120"/>
            </w:tcMar>
            <w:vAlign w:val="center"/>
          </w:tcPr>
          <w:p>
            <w:r>
              <w:rPr>
                <w:sz w:val="19"/>
                <w:szCs w:val="19"/>
              </w:rPr>
              <w:t xml:space="preserve">MinXray (Impact / CMDR series)</w:t>
            </w:r>
          </w:p>
        </w:tc>
        <w:tc>
          <w:tcPr>
            <w:tcW w:type="dxa" w:w="4784"/>
            <w:shd w:fill="FFFFFF" w:color="auto" w:val="clear"/>
            <w:tcMar>
              <w:top w:type="dxa" w:w="90"/>
              <w:left w:type="dxa" w:w="120"/>
              <w:bottom w:type="dxa" w:w="90"/>
              <w:right w:type="dxa" w:w="120"/>
            </w:tcMar>
            <w:vAlign w:val="center"/>
          </w:tcPr>
          <w:p>
            <w:r>
              <w:rPr>
                <w:sz w:val="19"/>
                <w:szCs w:val="19"/>
              </w:rPr>
              <w:t xml:space="preserve">Portable X-ray hardware manufacturer: battery-powered generator + wireless flat-panel detector.</w:t>
            </w:r>
          </w:p>
        </w:tc>
        <w:tc>
          <w:tcPr>
            <w:tcW w:type="dxa" w:w="2288"/>
            <w:shd w:fill="FFFFFF" w:color="auto" w:val="clear"/>
            <w:tcMar>
              <w:top w:type="dxa" w:w="90"/>
              <w:left w:type="dxa" w:w="120"/>
              <w:bottom w:type="dxa" w:w="90"/>
              <w:right w:type="dxa" w:w="120"/>
            </w:tcMar>
            <w:vAlign w:val="center"/>
          </w:tcPr>
          <w:p>
            <w:r>
              <w:rPr>
                <w:sz w:val="19"/>
                <w:szCs w:val="19"/>
              </w:rPr>
              <w:t xml:space="preserve">Physical device</w:t>
            </w:r>
          </w:p>
        </w:tc>
      </w:tr>
      <w:tr>
        <w:trPr>
          <w:cantSplit w:val="false"/>
        </w:trPr>
        <w:tc>
          <w:tcPr>
            <w:tcW w:type="dxa" w:w="2288"/>
            <w:shd w:fill="F2F2F2" w:color="auto" w:val="clear"/>
            <w:tcMar>
              <w:top w:type="dxa" w:w="90"/>
              <w:left w:type="dxa" w:w="120"/>
              <w:bottom w:type="dxa" w:w="90"/>
              <w:right w:type="dxa" w:w="120"/>
            </w:tcMar>
            <w:vAlign w:val="center"/>
          </w:tcPr>
          <w:p>
            <w:r>
              <w:rPr>
                <w:sz w:val="19"/>
                <w:szCs w:val="19"/>
              </w:rPr>
              <w:t xml:space="preserve">MinXView</w:t>
            </w:r>
          </w:p>
        </w:tc>
        <w:tc>
          <w:tcPr>
            <w:tcW w:type="dxa" w:w="4784"/>
            <w:shd w:fill="F2F2F2" w:color="auto" w:val="clear"/>
            <w:tcMar>
              <w:top w:type="dxa" w:w="90"/>
              <w:left w:type="dxa" w:w="120"/>
              <w:bottom w:type="dxa" w:w="90"/>
              <w:right w:type="dxa" w:w="120"/>
            </w:tcMar>
            <w:vAlign w:val="center"/>
          </w:tcPr>
          <w:p>
            <w:r>
              <w:rPr>
                <w:sz w:val="19"/>
                <w:szCs w:val="19"/>
              </w:rPr>
              <w:t xml:space="preserve">DICOM 3.0-compliant image acquisition software — the program a technologist uses to take and initially handle the X-ray.</w:t>
            </w:r>
          </w:p>
        </w:tc>
        <w:tc>
          <w:tcPr>
            <w:tcW w:type="dxa" w:w="2288"/>
            <w:shd w:fill="F2F2F2" w:color="auto" w:val="clear"/>
            <w:tcMar>
              <w:top w:type="dxa" w:w="90"/>
              <w:left w:type="dxa" w:w="120"/>
              <w:bottom w:type="dxa" w:w="90"/>
              <w:right w:type="dxa" w:w="120"/>
            </w:tcMar>
            <w:vAlign w:val="center"/>
          </w:tcPr>
          <w:p>
            <w:r>
              <w:rPr>
                <w:sz w:val="19"/>
                <w:szCs w:val="19"/>
              </w:rPr>
              <w:t xml:space="preserve">MinXray system laptop</w:t>
            </w:r>
          </w:p>
        </w:tc>
      </w:tr>
      <w:tr>
        <w:trPr>
          <w:cantSplit w:val="false"/>
        </w:trPr>
        <w:tc>
          <w:tcPr>
            <w:tcW w:type="dxa" w:w="2288"/>
            <w:shd w:fill="FFFFFF" w:color="auto" w:val="clear"/>
            <w:tcMar>
              <w:top w:type="dxa" w:w="90"/>
              <w:left w:type="dxa" w:w="120"/>
              <w:bottom w:type="dxa" w:w="90"/>
              <w:right w:type="dxa" w:w="120"/>
            </w:tcMar>
            <w:vAlign w:val="center"/>
          </w:tcPr>
          <w:p>
            <w:r>
              <w:rPr>
                <w:sz w:val="19"/>
                <w:szCs w:val="19"/>
              </w:rPr>
              <w:t xml:space="preserve">Qure.ai App</w:t>
            </w:r>
          </w:p>
        </w:tc>
        <w:tc>
          <w:tcPr>
            <w:tcW w:type="dxa" w:w="4784"/>
            <w:shd w:fill="FFFFFF" w:color="auto" w:val="clear"/>
            <w:tcMar>
              <w:top w:type="dxa" w:w="90"/>
              <w:left w:type="dxa" w:w="120"/>
              <w:bottom w:type="dxa" w:w="90"/>
              <w:right w:type="dxa" w:w="120"/>
            </w:tcMar>
            <w:vAlign w:val="center"/>
          </w:tcPr>
          <w:p>
            <w:r>
              <w:rPr>
                <w:sz w:val="19"/>
                <w:szCs w:val="19"/>
              </w:rPr>
              <w:t xml:space="preserve">General-purpose cloud-hosted worklist/viewer for AI-processed studies (hospital/PACS-style deployments). Patient CRUD, DICOM viewer, reporting panel.</w:t>
            </w:r>
          </w:p>
        </w:tc>
        <w:tc>
          <w:tcPr>
            <w:tcW w:type="dxa" w:w="2288"/>
            <w:shd w:fill="FFFFFF" w:color="auto" w:val="clear"/>
            <w:tcMar>
              <w:top w:type="dxa" w:w="90"/>
              <w:left w:type="dxa" w:w="120"/>
              <w:bottom w:type="dxa" w:w="90"/>
              <w:right w:type="dxa" w:w="120"/>
            </w:tcMar>
            <w:vAlign w:val="center"/>
          </w:tcPr>
          <w:p>
            <w:r>
              <w:rPr>
                <w:sz w:val="19"/>
                <w:szCs w:val="19"/>
              </w:rPr>
              <w:t xml:space="preserve">Desktop/mobile, cloud-backed</w:t>
            </w:r>
          </w:p>
        </w:tc>
      </w:tr>
      <w:tr>
        <w:trPr>
          <w:cantSplit w:val="false"/>
        </w:trPr>
        <w:tc>
          <w:tcPr>
            <w:tcW w:type="dxa" w:w="2288"/>
            <w:shd w:fill="F2F2F2" w:color="auto" w:val="clear"/>
            <w:tcMar>
              <w:top w:type="dxa" w:w="90"/>
              <w:left w:type="dxa" w:w="120"/>
              <w:bottom w:type="dxa" w:w="90"/>
              <w:right w:type="dxa" w:w="120"/>
            </w:tcMar>
            <w:vAlign w:val="center"/>
          </w:tcPr>
          <w:p>
            <w:r>
              <w:rPr>
                <w:sz w:val="19"/>
                <w:szCs w:val="19"/>
              </w:rPr>
              <w:t xml:space="preserve">qTrack</w:t>
            </w:r>
          </w:p>
        </w:tc>
        <w:tc>
          <w:tcPr>
            <w:tcW w:type="dxa" w:w="4784"/>
            <w:shd w:fill="F2F2F2" w:color="auto" w:val="clear"/>
            <w:tcMar>
              <w:top w:type="dxa" w:w="90"/>
              <w:left w:type="dxa" w:w="120"/>
              <w:bottom w:type="dxa" w:w="90"/>
              <w:right w:type="dxa" w:w="120"/>
            </w:tcMar>
            <w:vAlign w:val="center"/>
          </w:tcPr>
          <w:p>
            <w:r>
              <w:rPr>
                <w:sz w:val="19"/>
                <w:szCs w:val="19"/>
              </w:rPr>
              <w:t xml:space="preserve">Program-management layer specifically for disease screening (TB focus): patient registration, clinical forms, lab-result tracking, dashboards. Appears to share underlying UI/feature patterns with the Qure.ai App (see Section 7.4).</w:t>
            </w:r>
          </w:p>
        </w:tc>
        <w:tc>
          <w:tcPr>
            <w:tcW w:type="dxa" w:w="2288"/>
            <w:shd w:fill="F2F2F2" w:color="auto" w:val="clear"/>
            <w:tcMar>
              <w:top w:type="dxa" w:w="90"/>
              <w:left w:type="dxa" w:w="120"/>
              <w:bottom w:type="dxa" w:w="90"/>
              <w:right w:type="dxa" w:w="120"/>
            </w:tcMar>
            <w:vAlign w:val="center"/>
          </w:tcPr>
          <w:p>
            <w:r>
              <w:rPr>
                <w:sz w:val="19"/>
                <w:szCs w:val="19"/>
              </w:rPr>
              <w:t xml:space="preserve">“qTrack AI Laptop” appliance</w:t>
            </w:r>
          </w:p>
        </w:tc>
      </w:tr>
      <w:tr>
        <w:trPr>
          <w:cantSplit w:val="false"/>
        </w:trPr>
        <w:tc>
          <w:tcPr>
            <w:tcW w:type="dxa" w:w="2288"/>
            <w:shd w:fill="FFFFFF" w:color="auto" w:val="clear"/>
            <w:tcMar>
              <w:top w:type="dxa" w:w="90"/>
              <w:left w:type="dxa" w:w="120"/>
              <w:bottom w:type="dxa" w:w="90"/>
              <w:right w:type="dxa" w:w="120"/>
            </w:tcMar>
            <w:vAlign w:val="center"/>
          </w:tcPr>
          <w:p>
            <w:r>
              <w:rPr>
                <w:sz w:val="19"/>
                <w:szCs w:val="19"/>
              </w:rPr>
              <w:t xml:space="preserve">Gateway (= DCMIO)</w:t>
            </w:r>
          </w:p>
        </w:tc>
        <w:tc>
          <w:tcPr>
            <w:tcW w:type="dxa" w:w="4784"/>
            <w:shd w:fill="FFFFFF" w:color="auto" w:val="clear"/>
            <w:tcMar>
              <w:top w:type="dxa" w:w="90"/>
              <w:left w:type="dxa" w:w="120"/>
              <w:bottom w:type="dxa" w:w="90"/>
              <w:right w:type="dxa" w:w="120"/>
            </w:tcMar>
            <w:vAlign w:val="center"/>
          </w:tcPr>
          <w:p>
            <w:r>
              <w:rPr>
                <w:sz w:val="19"/>
                <w:szCs w:val="19"/>
              </w:rPr>
              <w:t xml:space="preserve">Local relay service that receives DICOM from the modality, de-identifies it, forwards it to Qure's cloud (or a local on-prem server) for AI processing, and routes results back. Confirmed to be one and the same component (see Section 7.3).</w:t>
            </w:r>
          </w:p>
        </w:tc>
        <w:tc>
          <w:tcPr>
            <w:tcW w:type="dxa" w:w="2288"/>
            <w:shd w:fill="FFFFFF" w:color="auto" w:val="clear"/>
            <w:tcMar>
              <w:top w:type="dxa" w:w="90"/>
              <w:left w:type="dxa" w:w="120"/>
              <w:bottom w:type="dxa" w:w="90"/>
              <w:right w:type="dxa" w:w="120"/>
            </w:tcMar>
            <w:vAlign w:val="center"/>
          </w:tcPr>
          <w:p>
            <w:r>
              <w:rPr>
                <w:sz w:val="19"/>
                <w:szCs w:val="19"/>
              </w:rPr>
              <w:t xml:space="preserve">Same laptop as MinXView/qTrack, or a separate on-prem server</w:t>
            </w:r>
          </w:p>
        </w:tc>
      </w:tr>
      <w:tr>
        <w:trPr>
          <w:cantSplit w:val="false"/>
        </w:trPr>
        <w:tc>
          <w:tcPr>
            <w:tcW w:type="dxa" w:w="2288"/>
            <w:shd w:fill="F2F2F2" w:color="auto" w:val="clear"/>
            <w:tcMar>
              <w:top w:type="dxa" w:w="90"/>
              <w:left w:type="dxa" w:w="120"/>
              <w:bottom w:type="dxa" w:w="90"/>
              <w:right w:type="dxa" w:w="120"/>
            </w:tcMar>
            <w:vAlign w:val="center"/>
          </w:tcPr>
          <w:p>
            <w:r>
              <w:rPr>
                <w:sz w:val="19"/>
                <w:szCs w:val="19"/>
              </w:rPr>
              <w:t xml:space="preserve">qXR</w:t>
            </w:r>
          </w:p>
        </w:tc>
        <w:tc>
          <w:tcPr>
            <w:tcW w:type="dxa" w:w="4784"/>
            <w:shd w:fill="F2F2F2" w:color="auto" w:val="clear"/>
            <w:tcMar>
              <w:top w:type="dxa" w:w="90"/>
              <w:left w:type="dxa" w:w="120"/>
              <w:bottom w:type="dxa" w:w="90"/>
              <w:right w:type="dxa" w:w="120"/>
            </w:tcMar>
            <w:vAlign w:val="center"/>
          </w:tcPr>
          <w:p>
            <w:r>
              <w:rPr>
                <w:sz w:val="19"/>
                <w:szCs w:val="19"/>
              </w:rPr>
              <w:t xml:space="preserve">The AI model that reads chest X-rays.</w:t>
            </w:r>
          </w:p>
        </w:tc>
        <w:tc>
          <w:tcPr>
            <w:tcW w:type="dxa" w:w="2288"/>
            <w:shd w:fill="F2F2F2" w:color="auto" w:val="clear"/>
            <w:tcMar>
              <w:top w:type="dxa" w:w="90"/>
              <w:left w:type="dxa" w:w="120"/>
              <w:bottom w:type="dxa" w:w="90"/>
              <w:right w:type="dxa" w:w="120"/>
            </w:tcMar>
            <w:vAlign w:val="center"/>
          </w:tcPr>
          <w:p>
            <w:r>
              <w:rPr>
                <w:sz w:val="19"/>
                <w:szCs w:val="19"/>
              </w:rPr>
              <w:t xml:space="preserve">Qure cloud, or an on-prem GPU server/laptop</w:t>
            </w:r>
          </w:p>
        </w:tc>
      </w:tr>
      <w:tr>
        <w:trPr>
          <w:cantSplit w:val="false"/>
        </w:trPr>
        <w:tc>
          <w:tcPr>
            <w:tcW w:type="dxa" w:w="2288"/>
            <w:shd w:fill="FFFFFF" w:color="auto" w:val="clear"/>
            <w:tcMar>
              <w:top w:type="dxa" w:w="90"/>
              <w:left w:type="dxa" w:w="120"/>
              <w:bottom w:type="dxa" w:w="90"/>
              <w:right w:type="dxa" w:w="120"/>
            </w:tcMar>
            <w:vAlign w:val="center"/>
          </w:tcPr>
          <w:p>
            <w:r>
              <w:rPr>
                <w:sz w:val="19"/>
                <w:szCs w:val="19"/>
              </w:rPr>
              <w:t xml:space="preserve">qER</w:t>
            </w:r>
          </w:p>
        </w:tc>
        <w:tc>
          <w:tcPr>
            <w:tcW w:type="dxa" w:w="4784"/>
            <w:shd w:fill="FFFFFF" w:color="auto" w:val="clear"/>
            <w:tcMar>
              <w:top w:type="dxa" w:w="90"/>
              <w:left w:type="dxa" w:w="120"/>
              <w:bottom w:type="dxa" w:w="90"/>
              <w:right w:type="dxa" w:w="120"/>
            </w:tcMar>
            <w:vAlign w:val="center"/>
          </w:tcPr>
          <w:p>
            <w:r>
              <w:rPr>
                <w:sz w:val="19"/>
                <w:szCs w:val="19"/>
              </w:rPr>
              <w:t xml:space="preserve">The AI model that reads non-contrast head CT.</w:t>
            </w:r>
          </w:p>
        </w:tc>
        <w:tc>
          <w:tcPr>
            <w:tcW w:type="dxa" w:w="2288"/>
            <w:shd w:fill="FFFFFF" w:color="auto" w:val="clear"/>
            <w:tcMar>
              <w:top w:type="dxa" w:w="90"/>
              <w:left w:type="dxa" w:w="120"/>
              <w:bottom w:type="dxa" w:w="90"/>
              <w:right w:type="dxa" w:w="120"/>
            </w:tcMar>
            <w:vAlign w:val="center"/>
          </w:tcPr>
          <w:p>
            <w:r>
              <w:rPr>
                <w:sz w:val="19"/>
                <w:szCs w:val="19"/>
              </w:rPr>
              <w:t xml:space="preserve">Qure cloud, or an on-prem GPU server</w:t>
            </w:r>
          </w:p>
        </w:tc>
      </w:tr>
      <w:tr>
        <w:trPr>
          <w:cantSplit w:val="false"/>
        </w:trPr>
        <w:tc>
          <w:tcPr>
            <w:tcW w:type="dxa" w:w="2288"/>
            <w:shd w:fill="F2F2F2" w:color="auto" w:val="clear"/>
            <w:tcMar>
              <w:top w:type="dxa" w:w="90"/>
              <w:left w:type="dxa" w:w="120"/>
              <w:bottom w:type="dxa" w:w="90"/>
              <w:right w:type="dxa" w:w="120"/>
            </w:tcMar>
            <w:vAlign w:val="center"/>
          </w:tcPr>
          <w:p>
            <w:r>
              <w:rPr>
                <w:sz w:val="19"/>
                <w:szCs w:val="19"/>
              </w:rPr>
              <w:t xml:space="preserve">Platform API</w:t>
            </w:r>
          </w:p>
        </w:tc>
        <w:tc>
          <w:tcPr>
            <w:tcW w:type="dxa" w:w="4784"/>
            <w:shd w:fill="F2F2F2" w:color="auto" w:val="clear"/>
            <w:tcMar>
              <w:top w:type="dxa" w:w="90"/>
              <w:left w:type="dxa" w:w="120"/>
              <w:bottom w:type="dxa" w:w="90"/>
              <w:right w:type="dxa" w:w="120"/>
            </w:tcMar>
            <w:vAlign w:val="center"/>
          </w:tcPr>
          <w:p>
            <w:r>
              <w:rPr>
                <w:sz w:val="19"/>
                <w:szCs w:val="19"/>
              </w:rPr>
              <w:t xml:space="preserve">Qure's developer-facing REST API for uploading studies and retrieving AI results directly (bearer-token auth).</w:t>
            </w:r>
          </w:p>
        </w:tc>
        <w:tc>
          <w:tcPr>
            <w:tcW w:type="dxa" w:w="2288"/>
            <w:shd w:fill="F2F2F2" w:color="auto" w:val="clear"/>
            <w:tcMar>
              <w:top w:type="dxa" w:w="90"/>
              <w:left w:type="dxa" w:w="120"/>
              <w:bottom w:type="dxa" w:w="90"/>
              <w:right w:type="dxa" w:w="120"/>
            </w:tcMar>
            <w:vAlign w:val="center"/>
          </w:tcPr>
          <w:p>
            <w:r>
              <w:rPr>
                <w:sz w:val="19"/>
                <w:szCs w:val="19"/>
              </w:rPr>
              <w:t xml:space="preserve">Qure cloud, or self-hosted (on-prem package)</w:t>
            </w:r>
          </w:p>
        </w:tc>
      </w:tr>
    </w:tbl>
    <w:p>
      <w:pPr>
        <w:spacing w:after="240"/>
      </w:pPr>
    </w:p>
    <w:p>
      <w:pPr>
        <w:pStyle w:val="Heading2"/>
        <w:spacing w:after="120" w:before="280"/>
      </w:pPr>
      <w:r>
        <w:rPr>
          <w:b/>
          <w:bCs/>
          <w:color w:val="0E7C86"/>
        </w:rPr>
        <w:t xml:space="preserve">3.1 Two Deployment Models</w:t>
      </w:r>
    </w:p>
    <w:p>
      <w:pPr>
        <w:spacing w:after="160" w:line="276"/>
      </w:pPr>
      <w:r>
        <w:t xml:space="preserve">Qure's own Instructions for Use documents both models as legitimate, supported configurations:</w:t>
      </w:r>
    </w:p>
    <w:p>
      <w:pPr>
        <w:pStyle w:val="ListParagraph"/>
        <w:numPr>
          <w:ilvl w:val="0"/>
          <w:numId w:val="2"/>
        </w:numPr>
        <w:spacing w:after="80" w:line="264"/>
      </w:pPr>
      <w:r>
        <w:t xml:space="preserve">Cloud / hospital-PACS model: qXR “operates entirely through the PACS.” The Gateway/DCMIO forwards de-identified studies to Qure's cloud; results return to the PACS as new DICOM series. Requires reliable internet.</w:t>
      </w:r>
    </w:p>
    <w:p>
      <w:pPr>
        <w:pStyle w:val="ListParagraph"/>
        <w:numPr>
          <w:ilvl w:val="0"/>
          <w:numId w:val="2"/>
        </w:numPr>
        <w:spacing w:after="80" w:line="264"/>
      </w:pPr>
      <w:r>
        <w:t xml:space="preserve">Local / field model (the MinXray-bundled laptop): a local Docker-based install lets AI processing happen “even without WiFi or internet connection.” Cloud sync for patient/program data happens opportunistically once connectivity is available. This is the model built for TB screening camps in low-connectivity settings.</w:t>
      </w:r>
    </w:p>
    <w:p>
      <w:pPr>
        <w:pStyle w:val="Heading1"/>
        <w:pBdr>
          <w:bottom w:val="single" w:color="1F3864" w:sz="6" w:space="4"/>
        </w:pBdr>
        <w:spacing w:after="160" w:before="360"/>
      </w:pPr>
      <w:r>
        <w:rPr>
          <w:b/>
          <w:bCs/>
          <w:color w:val="1F3864"/>
        </w:rPr>
        <w:t xml:space="preserve">4. How a Study Moves Through the System</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Patient is registered (on the laptop or via a paired phone) → X-ray is taken → image is automatically relayed for AI analysis → AI-marked image and report appear back on the worklist within about a minute → clinician reviews, and for TB-presumptive cases, staff log a confirmatory lab test result. Patient IDs cannot be edited or deleted after registration — corrections go through Qure support.</w:t>
            </w:r>
          </w:p>
        </w:tc>
      </w:tr>
    </w:tbl>
    <w:p>
      <w:pPr>
        <w:pStyle w:val="Heading2"/>
        <w:spacing w:after="120" w:before="280"/>
      </w:pPr>
      <w:r>
        <w:rPr>
          <w:b/>
          <w:bCs/>
          <w:color w:val="0E7C86"/>
        </w:rPr>
        <w:t xml:space="preserve">4.1 Patient records</w:t>
      </w:r>
    </w:p>
    <w:p>
      <w:pPr>
        <w:pStyle w:val="ListParagraph"/>
        <w:numPr>
          <w:ilvl w:val="0"/>
          <w:numId w:val="2"/>
        </w:numPr>
        <w:spacing w:after="80" w:line="264"/>
      </w:pPr>
      <w:r>
        <w:t xml:space="preserve">Create: Add Patient in the Qure.ai App (ID, name, age, gender, workspace) before a scan exists; or register directly on the modality worklist via the qTrack mobile app, paired to the laptop over a local Wi-Fi network by QR code.</w:t>
      </w:r>
    </w:p>
    <w:p>
      <w:pPr>
        <w:pStyle w:val="ListParagraph"/>
        <w:numPr>
          <w:ilvl w:val="0"/>
          <w:numId w:val="2"/>
        </w:numPr>
        <w:spacing w:after="80" w:line="264"/>
      </w:pPr>
      <w:r>
        <w:t xml:space="preserve">Read: Worklist Panel (Qure.ai App) or Patient Worklist (qTrack) list all registered patients with filters; Patient Channel shows a timeline, AI results, and attached forms.</w:t>
      </w:r>
    </w:p>
    <w:p>
      <w:pPr>
        <w:pStyle w:val="ListParagraph"/>
        <w:numPr>
          <w:ilvl w:val="0"/>
          <w:numId w:val="2"/>
        </w:numPr>
        <w:spacing w:after="80" w:line="264"/>
      </w:pPr>
      <w:r>
        <w:t xml:space="preserve">Update: name/age/gender editable via Edit Patient. Patient ID is explicitly not editable once registered (confirmed in qTrack's own FAQ).</w:t>
      </w:r>
    </w:p>
    <w:p>
      <w:pPr>
        <w:pStyle w:val="ListParagraph"/>
        <w:numPr>
          <w:ilvl w:val="0"/>
          <w:numId w:val="2"/>
        </w:numPr>
        <w:spacing w:after="80" w:line="264"/>
      </w:pPr>
      <w:r>
        <w:t xml:space="preserve">Delete: not supported for end users in either product. Duplicate records are handled via a Merge Patients function rather than deletion; qTrack's FAQ states outright “you cannot delete patient on qTrack” and directs the user to Qure support for anything else.</w:t>
      </w:r>
    </w:p>
    <w:p>
      <w:pPr>
        <w:pStyle w:val="Heading2"/>
        <w:spacing w:after="120" w:before="280"/>
      </w:pPr>
      <w:r>
        <w:rPr>
          <w:b/>
          <w:bCs/>
          <w:color w:val="0E7C86"/>
        </w:rPr>
        <w:t xml:space="preserve">4.2 Orders / studies</w:t>
      </w:r>
    </w:p>
    <w:p>
      <w:pPr>
        <w:pStyle w:val="ListParagraph"/>
        <w:numPr>
          <w:ilvl w:val="0"/>
          <w:numId w:val="2"/>
        </w:numPr>
        <w:spacing w:after="80" w:line="264"/>
      </w:pPr>
      <w:r>
        <w:t xml:space="preserve">A study is created implicitly by acquiring a scan against a registered patient on the modality (MinXView); there is no separate manual “order” entity in what we've reviewed — registration plus acquisition is the whole order lifecycle.</w:t>
      </w:r>
    </w:p>
    <w:p>
      <w:pPr>
        <w:pStyle w:val="ListParagraph"/>
        <w:numPr>
          <w:ilvl w:val="0"/>
          <w:numId w:val="2"/>
        </w:numPr>
        <w:spacing w:after="80" w:line="264"/>
      </w:pPr>
      <w:r>
        <w:t xml:space="preserve">Import Scans lets a user manually bring in existing .dcm/.png/.jpeg files outside the live acquisition flow.</w:t>
      </w:r>
    </w:p>
    <w:p>
      <w:pPr>
        <w:pStyle w:val="Heading2"/>
        <w:spacing w:after="120" w:before="280"/>
      </w:pPr>
      <w:r>
        <w:rPr>
          <w:b/>
          <w:bCs/>
          <w:color w:val="0E7C86"/>
        </w:rPr>
        <w:t xml:space="preserve">4.3 Results &amp; reporting</w:t>
      </w:r>
    </w:p>
    <w:p>
      <w:pPr>
        <w:pStyle w:val="ListParagraph"/>
        <w:numPr>
          <w:ilvl w:val="0"/>
          <w:numId w:val="2"/>
        </w:numPr>
        <w:spacing w:after="80" w:line="264"/>
      </w:pPr>
      <w:r>
        <w:t xml:space="preserve">AI turnaround is advertised at under one minute from exposure to report.</w:t>
      </w:r>
    </w:p>
    <w:p>
      <w:pPr>
        <w:pStyle w:val="ListParagraph"/>
        <w:numPr>
          <w:ilvl w:val="0"/>
          <w:numId w:val="2"/>
        </w:numPr>
        <w:spacing w:after="80" w:line="264"/>
      </w:pPr>
      <w:r>
        <w:t xml:space="preserve">Clinical forms (Risk Groups, Symptoms, TB Vouchers, GeneXpert/CBNAAT confirmatory lab results) attach to the patient record once a case is TB-presumptive.</w:t>
      </w:r>
    </w:p>
    <w:p>
      <w:pPr>
        <w:pStyle w:val="ListParagraph"/>
        <w:numPr>
          <w:ilvl w:val="0"/>
          <w:numId w:val="2"/>
        </w:numPr>
        <w:spacing w:after="80" w:line="264"/>
      </w:pPr>
      <w:r>
        <w:t xml:space="preserve">Reports are downloadable as PDF (and printable) with a disclaimer that they require clinician sign-off before informing treatment; bulk patient/result data is exportable as CSV.</w:t>
      </w:r>
    </w:p>
    <w:p>
      <w:pPr>
        <w:pStyle w:val="Heading1"/>
        <w:pBdr>
          <w:bottom w:val="single" w:color="1F3864" w:sz="6" w:space="4"/>
        </w:pBdr>
        <w:spacing w:after="160" w:before="360"/>
      </w:pPr>
      <w:r>
        <w:rPr>
          <w:b/>
          <w:bCs/>
          <w:color w:val="1F3864"/>
        </w:rPr>
        <w:t xml:space="preserve">5. DICOM Interface Details</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The X-ray itself goes in as a standard “primary capture” DICOM image (CR or DX format). qXR sends back an annotated version in one of two ways: a brand-new image with the AI markings burned in (Secondary Capture — compatible with literally any DICOM viewer), or a lightweight overlay layered on top of the untouched original (GSPS — toggleable, but needs a compatible viewer). A separate structured data object (SR) may or may not also be sent, and that's one of our open items.</w:t>
            </w:r>
          </w:p>
        </w:tc>
      </w:tr>
    </w:tbl>
    <w:p>
      <w:pPr>
        <w:pStyle w:val="Heading2"/>
        <w:spacing w:after="120" w:before="280"/>
      </w:pPr>
      <w:r>
        <w:rPr>
          <w:b/>
          <w:bCs/>
          <w:color w:val="0E7C86"/>
        </w:rPr>
        <w:t xml:space="preserve">5.1 Primary capture (input to qXR)</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621"/>
        <w:gridCol w:w="4118"/>
        <w:gridCol w:w="2621"/>
      </w:tblGrid>
      <w:tr>
        <w:trPr>
          <w:tblHeader/>
        </w:trPr>
        <w:tc>
          <w:tcPr>
            <w:tcW w:type="dxa" w:w="2621"/>
            <w:shd w:fill="1F3864" w:color="auto" w:val="clear"/>
            <w:tcMar>
              <w:top w:type="dxa" w:w="100"/>
              <w:left w:type="dxa" w:w="120"/>
              <w:bottom w:type="dxa" w:w="100"/>
              <w:right w:type="dxa" w:w="120"/>
            </w:tcMar>
            <w:vAlign w:val="center"/>
          </w:tcPr>
          <w:p>
            <w:r>
              <w:rPr>
                <w:b/>
                <w:bCs/>
                <w:color w:val="FFFFFF"/>
                <w:sz w:val="19"/>
                <w:szCs w:val="19"/>
              </w:rPr>
              <w:t xml:space="preserve">Modality</w:t>
            </w:r>
          </w:p>
        </w:tc>
        <w:tc>
          <w:tcPr>
            <w:tcW w:type="dxa" w:w="4118"/>
            <w:shd w:fill="1F3864" w:color="auto" w:val="clear"/>
            <w:tcMar>
              <w:top w:type="dxa" w:w="100"/>
              <w:left w:type="dxa" w:w="120"/>
              <w:bottom w:type="dxa" w:w="100"/>
              <w:right w:type="dxa" w:w="120"/>
            </w:tcMar>
            <w:vAlign w:val="center"/>
          </w:tcPr>
          <w:p>
            <w:r>
              <w:rPr>
                <w:b/>
                <w:bCs/>
                <w:color w:val="FFFFFF"/>
                <w:sz w:val="19"/>
                <w:szCs w:val="19"/>
              </w:rPr>
              <w:t xml:space="preserve">SOP Class</w:t>
            </w:r>
          </w:p>
        </w:tc>
        <w:tc>
          <w:tcPr>
            <w:tcW w:type="dxa" w:w="2621"/>
            <w:shd w:fill="1F3864" w:color="auto" w:val="clear"/>
            <w:tcMar>
              <w:top w:type="dxa" w:w="100"/>
              <w:left w:type="dxa" w:w="120"/>
              <w:bottom w:type="dxa" w:w="100"/>
              <w:right w:type="dxa" w:w="120"/>
            </w:tcMar>
            <w:vAlign w:val="center"/>
          </w:tcPr>
          <w:p>
            <w:r>
              <w:rPr>
                <w:b/>
                <w:bCs/>
                <w:color w:val="FFFFFF"/>
                <w:sz w:val="19"/>
                <w:szCs w:val="19"/>
              </w:rPr>
              <w:t xml:space="preserve">SOP Class UID</w:t>
            </w:r>
          </w:p>
        </w:tc>
      </w:tr>
      <w:tr>
        <w:trPr>
          <w:cantSplit w:val="false"/>
        </w:trPr>
        <w:tc>
          <w:tcPr>
            <w:tcW w:type="dxa" w:w="2621"/>
            <w:shd w:fill="FFFFFF" w:color="auto" w:val="clear"/>
            <w:tcMar>
              <w:top w:type="dxa" w:w="90"/>
              <w:left w:type="dxa" w:w="120"/>
              <w:bottom w:type="dxa" w:w="90"/>
              <w:right w:type="dxa" w:w="120"/>
            </w:tcMar>
            <w:vAlign w:val="center"/>
          </w:tcPr>
          <w:p>
            <w:r>
              <w:rPr>
                <w:sz w:val="19"/>
                <w:szCs w:val="19"/>
              </w:rPr>
              <w:t xml:space="preserve">CR (phosphor plate)</w:t>
            </w:r>
          </w:p>
        </w:tc>
        <w:tc>
          <w:tcPr>
            <w:tcW w:type="dxa" w:w="4118"/>
            <w:shd w:fill="FFFFFF" w:color="auto" w:val="clear"/>
            <w:tcMar>
              <w:top w:type="dxa" w:w="90"/>
              <w:left w:type="dxa" w:w="120"/>
              <w:bottom w:type="dxa" w:w="90"/>
              <w:right w:type="dxa" w:w="120"/>
            </w:tcMar>
            <w:vAlign w:val="center"/>
          </w:tcPr>
          <w:p>
            <w:r>
              <w:rPr>
                <w:sz w:val="19"/>
                <w:szCs w:val="19"/>
              </w:rPr>
              <w:t xml:space="preserve">Computed Radiography Image Storage</w:t>
            </w:r>
          </w:p>
        </w:tc>
        <w:tc>
          <w:tcPr>
            <w:tcW w:type="dxa" w:w="2621"/>
            <w:shd w:fill="FFFFFF" w:color="auto" w:val="clear"/>
            <w:tcMar>
              <w:top w:type="dxa" w:w="90"/>
              <w:left w:type="dxa" w:w="120"/>
              <w:bottom w:type="dxa" w:w="90"/>
              <w:right w:type="dxa" w:w="120"/>
            </w:tcMar>
            <w:vAlign w:val="center"/>
          </w:tcPr>
          <w:p>
            <w:r>
              <w:rPr>
                <w:sz w:val="19"/>
                <w:szCs w:val="19"/>
              </w:rPr>
              <w:t xml:space="preserve">1.2.840.10008.5.1.4.1.1.1</w:t>
            </w:r>
          </w:p>
        </w:tc>
      </w:tr>
      <w:tr>
        <w:trPr>
          <w:cantSplit w:val="false"/>
        </w:trPr>
        <w:tc>
          <w:tcPr>
            <w:tcW w:type="dxa" w:w="2621"/>
            <w:shd w:fill="F2F2F2" w:color="auto" w:val="clear"/>
            <w:tcMar>
              <w:top w:type="dxa" w:w="90"/>
              <w:left w:type="dxa" w:w="120"/>
              <w:bottom w:type="dxa" w:w="90"/>
              <w:right w:type="dxa" w:w="120"/>
            </w:tcMar>
            <w:vAlign w:val="center"/>
          </w:tcPr>
          <w:p>
            <w:r>
              <w:rPr>
                <w:sz w:val="19"/>
                <w:szCs w:val="19"/>
              </w:rPr>
              <w:t xml:space="preserve">DX (flat-panel, e.g. MinXray detector)</w:t>
            </w:r>
          </w:p>
        </w:tc>
        <w:tc>
          <w:tcPr>
            <w:tcW w:type="dxa" w:w="4118"/>
            <w:shd w:fill="F2F2F2" w:color="auto" w:val="clear"/>
            <w:tcMar>
              <w:top w:type="dxa" w:w="90"/>
              <w:left w:type="dxa" w:w="120"/>
              <w:bottom w:type="dxa" w:w="90"/>
              <w:right w:type="dxa" w:w="120"/>
            </w:tcMar>
            <w:vAlign w:val="center"/>
          </w:tcPr>
          <w:p>
            <w:r>
              <w:rPr>
                <w:sz w:val="19"/>
                <w:szCs w:val="19"/>
              </w:rPr>
              <w:t xml:space="preserve">Digital X-Ray Image Storage – For Presentation</w:t>
            </w:r>
          </w:p>
        </w:tc>
        <w:tc>
          <w:tcPr>
            <w:tcW w:type="dxa" w:w="2621"/>
            <w:shd w:fill="F2F2F2" w:color="auto" w:val="clear"/>
            <w:tcMar>
              <w:top w:type="dxa" w:w="90"/>
              <w:left w:type="dxa" w:w="120"/>
              <w:bottom w:type="dxa" w:w="90"/>
              <w:right w:type="dxa" w:w="120"/>
            </w:tcMar>
            <w:vAlign w:val="center"/>
          </w:tcPr>
          <w:p>
            <w:r>
              <w:rPr>
                <w:sz w:val="19"/>
                <w:szCs w:val="19"/>
              </w:rPr>
              <w:t xml:space="preserve">1.2.840.10008.5.1.4.1.1.1.1</w:t>
            </w:r>
          </w:p>
        </w:tc>
      </w:tr>
      <w:tr>
        <w:trPr>
          <w:cantSplit w:val="false"/>
        </w:trPr>
        <w:tc>
          <w:tcPr>
            <w:tcW w:type="dxa" w:w="2621"/>
            <w:shd w:fill="FFFFFF" w:color="auto" w:val="clear"/>
            <w:tcMar>
              <w:top w:type="dxa" w:w="90"/>
              <w:left w:type="dxa" w:w="120"/>
              <w:bottom w:type="dxa" w:w="90"/>
              <w:right w:type="dxa" w:w="120"/>
            </w:tcMar>
            <w:vAlign w:val="center"/>
          </w:tcPr>
          <w:p>
            <w:r>
              <w:rPr>
                <w:sz w:val="19"/>
                <w:szCs w:val="19"/>
              </w:rPr>
              <w:t xml:space="preserve">DX</w:t>
            </w:r>
          </w:p>
        </w:tc>
        <w:tc>
          <w:tcPr>
            <w:tcW w:type="dxa" w:w="4118"/>
            <w:shd w:fill="FFFFFF" w:color="auto" w:val="clear"/>
            <w:tcMar>
              <w:top w:type="dxa" w:w="90"/>
              <w:left w:type="dxa" w:w="120"/>
              <w:bottom w:type="dxa" w:w="90"/>
              <w:right w:type="dxa" w:w="120"/>
            </w:tcMar>
            <w:vAlign w:val="center"/>
          </w:tcPr>
          <w:p>
            <w:r>
              <w:rPr>
                <w:sz w:val="19"/>
                <w:szCs w:val="19"/>
              </w:rPr>
              <w:t xml:space="preserve">Digital X-Ray Image Storage – For Processing</w:t>
            </w:r>
          </w:p>
        </w:tc>
        <w:tc>
          <w:tcPr>
            <w:tcW w:type="dxa" w:w="2621"/>
            <w:shd w:fill="FFFFFF" w:color="auto" w:val="clear"/>
            <w:tcMar>
              <w:top w:type="dxa" w:w="90"/>
              <w:left w:type="dxa" w:w="120"/>
              <w:bottom w:type="dxa" w:w="90"/>
              <w:right w:type="dxa" w:w="120"/>
            </w:tcMar>
            <w:vAlign w:val="center"/>
          </w:tcPr>
          <w:p>
            <w:r>
              <w:rPr>
                <w:sz w:val="19"/>
                <w:szCs w:val="19"/>
              </w:rPr>
              <w:t xml:space="preserve">1.2.840.10008.5.1.4.1.1.1.1.1</w:t>
            </w:r>
          </w:p>
        </w:tc>
      </w:tr>
    </w:tbl>
    <w:p>
      <w:pPr>
        <w:spacing w:after="160"/>
      </w:pPr>
    </w:p>
    <w:p>
      <w:pPr>
        <w:spacing w:after="160" w:line="276"/>
      </w:pPr>
      <w:r>
        <w:t xml:space="preserve">Open question: “For Presentation” images have vendor display processing already applied; “For Processing” images are closer to raw detector output and are what AI/CAD models often prefer for consistency. Which one MinXView emits, and which one qXR is validated against, is unconfirmed — see Appendix A.</w:t>
      </w:r>
    </w:p>
    <w:p>
      <w:pPr>
        <w:pStyle w:val="Heading2"/>
        <w:spacing w:after="120" w:before="280"/>
      </w:pPr>
      <w:r>
        <w:rPr>
          <w:b/>
          <w:bCs/>
          <w:color w:val="0E7C86"/>
        </w:rPr>
        <w:t xml:space="preserve">5.2 Secondary / derived output (from qXR back to PACS)</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808"/>
        <w:gridCol w:w="4493"/>
        <w:gridCol w:w="2059"/>
      </w:tblGrid>
      <w:tr>
        <w:trPr>
          <w:tblHeader/>
        </w:trPr>
        <w:tc>
          <w:tcPr>
            <w:tcW w:type="dxa" w:w="2808"/>
            <w:shd w:fill="1F3864" w:color="auto" w:val="clear"/>
            <w:tcMar>
              <w:top w:type="dxa" w:w="100"/>
              <w:left w:type="dxa" w:w="120"/>
              <w:bottom w:type="dxa" w:w="100"/>
              <w:right w:type="dxa" w:w="120"/>
            </w:tcMar>
            <w:vAlign w:val="center"/>
          </w:tcPr>
          <w:p>
            <w:r>
              <w:rPr>
                <w:b/>
                <w:bCs/>
                <w:color w:val="FFFFFF"/>
                <w:sz w:val="19"/>
                <w:szCs w:val="19"/>
              </w:rPr>
              <w:t xml:space="preserve">Informal name</w:t>
            </w:r>
          </w:p>
        </w:tc>
        <w:tc>
          <w:tcPr>
            <w:tcW w:type="dxa" w:w="4493"/>
            <w:shd w:fill="1F3864" w:color="auto" w:val="clear"/>
            <w:tcMar>
              <w:top w:type="dxa" w:w="100"/>
              <w:left w:type="dxa" w:w="120"/>
              <w:bottom w:type="dxa" w:w="100"/>
              <w:right w:type="dxa" w:w="120"/>
            </w:tcMar>
            <w:vAlign w:val="center"/>
          </w:tcPr>
          <w:p>
            <w:r>
              <w:rPr>
                <w:b/>
                <w:bCs/>
                <w:color w:val="FFFFFF"/>
                <w:sz w:val="19"/>
                <w:szCs w:val="19"/>
              </w:rPr>
              <w:t xml:space="preserve">SOP Class</w:t>
            </w:r>
          </w:p>
        </w:tc>
        <w:tc>
          <w:tcPr>
            <w:tcW w:type="dxa" w:w="2059"/>
            <w:shd w:fill="1F3864" w:color="auto" w:val="clear"/>
            <w:tcMar>
              <w:top w:type="dxa" w:w="100"/>
              <w:left w:type="dxa" w:w="120"/>
              <w:bottom w:type="dxa" w:w="100"/>
              <w:right w:type="dxa" w:w="120"/>
            </w:tcMar>
            <w:vAlign w:val="center"/>
          </w:tcPr>
          <w:p>
            <w:r>
              <w:rPr>
                <w:b/>
                <w:bCs/>
                <w:color w:val="FFFFFF"/>
                <w:sz w:val="19"/>
                <w:szCs w:val="19"/>
              </w:rPr>
              <w:t xml:space="preserve">SOP Class UID</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Secondary Capture (base)</w:t>
            </w:r>
          </w:p>
        </w:tc>
        <w:tc>
          <w:tcPr>
            <w:tcW w:type="dxa" w:w="4493"/>
            <w:shd w:fill="FFFFFF" w:color="auto" w:val="clear"/>
            <w:tcMar>
              <w:top w:type="dxa" w:w="90"/>
              <w:left w:type="dxa" w:w="120"/>
              <w:bottom w:type="dxa" w:w="90"/>
              <w:right w:type="dxa" w:w="120"/>
            </w:tcMar>
            <w:vAlign w:val="center"/>
          </w:tcPr>
          <w:p>
            <w:r>
              <w:rPr>
                <w:sz w:val="19"/>
                <w:szCs w:val="19"/>
              </w:rPr>
              <w:t xml:space="preserve">Secondary Capture Image Storage</w:t>
            </w:r>
          </w:p>
        </w:tc>
        <w:tc>
          <w:tcPr>
            <w:tcW w:type="dxa" w:w="2059"/>
            <w:shd w:fill="FFFFFF" w:color="auto" w:val="clear"/>
            <w:tcMar>
              <w:top w:type="dxa" w:w="90"/>
              <w:left w:type="dxa" w:w="120"/>
              <w:bottom w:type="dxa" w:w="90"/>
              <w:right w:type="dxa" w:w="120"/>
            </w:tcMar>
            <w:vAlign w:val="center"/>
          </w:tcPr>
          <w:p>
            <w:r>
              <w:rPr>
                <w:sz w:val="19"/>
                <w:szCs w:val="19"/>
              </w:rPr>
              <w:t xml:space="preserve">1.2.840.10008.5.1.4.1.1.7</w:t>
            </w:r>
          </w:p>
        </w:tc>
      </w:tr>
      <w:tr>
        <w:trPr>
          <w:cantSplit w:val="false"/>
        </w:trPr>
        <w:tc>
          <w:tcPr>
            <w:tcW w:type="dxa" w:w="2808"/>
            <w:shd w:fill="F2F2F2" w:color="auto" w:val="clear"/>
            <w:tcMar>
              <w:top w:type="dxa" w:w="90"/>
              <w:left w:type="dxa" w:w="120"/>
              <w:bottom w:type="dxa" w:w="90"/>
              <w:right w:type="dxa" w:w="120"/>
            </w:tcMar>
            <w:vAlign w:val="center"/>
          </w:tcPr>
          <w:p>
            <w:r>
              <w:rPr>
                <w:sz w:val="19"/>
                <w:szCs w:val="19"/>
              </w:rPr>
              <w:t xml:space="preserve">Secondary Capture (grayscale, byte)</w:t>
            </w:r>
          </w:p>
        </w:tc>
        <w:tc>
          <w:tcPr>
            <w:tcW w:type="dxa" w:w="4493"/>
            <w:shd w:fill="F2F2F2" w:color="auto" w:val="clear"/>
            <w:tcMar>
              <w:top w:type="dxa" w:w="90"/>
              <w:left w:type="dxa" w:w="120"/>
              <w:bottom w:type="dxa" w:w="90"/>
              <w:right w:type="dxa" w:w="120"/>
            </w:tcMar>
            <w:vAlign w:val="center"/>
          </w:tcPr>
          <w:p>
            <w:r>
              <w:rPr>
                <w:sz w:val="19"/>
                <w:szCs w:val="19"/>
              </w:rPr>
              <w:t xml:space="preserve">Multi-frame Grayscale Byte Secondary Capture Image Storage</w:t>
            </w:r>
          </w:p>
        </w:tc>
        <w:tc>
          <w:tcPr>
            <w:tcW w:type="dxa" w:w="2059"/>
            <w:shd w:fill="F2F2F2" w:color="auto" w:val="clear"/>
            <w:tcMar>
              <w:top w:type="dxa" w:w="90"/>
              <w:left w:type="dxa" w:w="120"/>
              <w:bottom w:type="dxa" w:w="90"/>
              <w:right w:type="dxa" w:w="120"/>
            </w:tcMar>
            <w:vAlign w:val="center"/>
          </w:tcPr>
          <w:p>
            <w:r>
              <w:rPr>
                <w:sz w:val="19"/>
                <w:szCs w:val="19"/>
              </w:rPr>
              <w:t xml:space="preserve">1.2.840.10008.5.1.4.1.1.7.2</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Secondary Capture (grayscale, word / &gt;8-bit)</w:t>
            </w:r>
          </w:p>
        </w:tc>
        <w:tc>
          <w:tcPr>
            <w:tcW w:type="dxa" w:w="4493"/>
            <w:shd w:fill="FFFFFF" w:color="auto" w:val="clear"/>
            <w:tcMar>
              <w:top w:type="dxa" w:w="90"/>
              <w:left w:type="dxa" w:w="120"/>
              <w:bottom w:type="dxa" w:w="90"/>
              <w:right w:type="dxa" w:w="120"/>
            </w:tcMar>
            <w:vAlign w:val="center"/>
          </w:tcPr>
          <w:p>
            <w:r>
              <w:rPr>
                <w:sz w:val="19"/>
                <w:szCs w:val="19"/>
              </w:rPr>
              <w:t xml:space="preserve">Multi-frame Grayscale Word Secondary Capture Image Storage</w:t>
            </w:r>
          </w:p>
        </w:tc>
        <w:tc>
          <w:tcPr>
            <w:tcW w:type="dxa" w:w="2059"/>
            <w:shd w:fill="FFFFFF" w:color="auto" w:val="clear"/>
            <w:tcMar>
              <w:top w:type="dxa" w:w="90"/>
              <w:left w:type="dxa" w:w="120"/>
              <w:bottom w:type="dxa" w:w="90"/>
              <w:right w:type="dxa" w:w="120"/>
            </w:tcMar>
            <w:vAlign w:val="center"/>
          </w:tcPr>
          <w:p>
            <w:r>
              <w:rPr>
                <w:sz w:val="19"/>
                <w:szCs w:val="19"/>
              </w:rPr>
              <w:t xml:space="preserve">1.2.840.10008.5.1.4.1.1.7.3</w:t>
            </w:r>
          </w:p>
        </w:tc>
      </w:tr>
      <w:tr>
        <w:trPr>
          <w:cantSplit w:val="false"/>
        </w:trPr>
        <w:tc>
          <w:tcPr>
            <w:tcW w:type="dxa" w:w="2808"/>
            <w:shd w:fill="F2F2F2" w:color="auto" w:val="clear"/>
            <w:tcMar>
              <w:top w:type="dxa" w:w="90"/>
              <w:left w:type="dxa" w:w="120"/>
              <w:bottom w:type="dxa" w:w="90"/>
              <w:right w:type="dxa" w:w="120"/>
            </w:tcMar>
            <w:vAlign w:val="center"/>
          </w:tcPr>
          <w:p>
            <w:r>
              <w:rPr>
                <w:sz w:val="19"/>
                <w:szCs w:val="19"/>
              </w:rPr>
              <w:t xml:space="preserve">GSPS</w:t>
            </w:r>
          </w:p>
        </w:tc>
        <w:tc>
          <w:tcPr>
            <w:tcW w:type="dxa" w:w="4493"/>
            <w:shd w:fill="F2F2F2" w:color="auto" w:val="clear"/>
            <w:tcMar>
              <w:top w:type="dxa" w:w="90"/>
              <w:left w:type="dxa" w:w="120"/>
              <w:bottom w:type="dxa" w:w="90"/>
              <w:right w:type="dxa" w:w="120"/>
            </w:tcMar>
            <w:vAlign w:val="center"/>
          </w:tcPr>
          <w:p>
            <w:r>
              <w:rPr>
                <w:sz w:val="19"/>
                <w:szCs w:val="19"/>
              </w:rPr>
              <w:t xml:space="preserve">Grayscale Softcopy Presentation State Storage</w:t>
            </w:r>
          </w:p>
        </w:tc>
        <w:tc>
          <w:tcPr>
            <w:tcW w:type="dxa" w:w="2059"/>
            <w:shd w:fill="F2F2F2" w:color="auto" w:val="clear"/>
            <w:tcMar>
              <w:top w:type="dxa" w:w="90"/>
              <w:left w:type="dxa" w:w="120"/>
              <w:bottom w:type="dxa" w:w="90"/>
              <w:right w:type="dxa" w:w="120"/>
            </w:tcMar>
            <w:vAlign w:val="center"/>
          </w:tcPr>
          <w:p>
            <w:r>
              <w:rPr>
                <w:sz w:val="19"/>
                <w:szCs w:val="19"/>
              </w:rPr>
              <w:t xml:space="preserve">1.2.840.10008.5.1.4.1.1.11.1</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Structured Report (generic)</w:t>
            </w:r>
          </w:p>
        </w:tc>
        <w:tc>
          <w:tcPr>
            <w:tcW w:type="dxa" w:w="4493"/>
            <w:shd w:fill="FFFFFF" w:color="auto" w:val="clear"/>
            <w:tcMar>
              <w:top w:type="dxa" w:w="90"/>
              <w:left w:type="dxa" w:w="120"/>
              <w:bottom w:type="dxa" w:w="90"/>
              <w:right w:type="dxa" w:w="120"/>
            </w:tcMar>
            <w:vAlign w:val="center"/>
          </w:tcPr>
          <w:p>
            <w:r>
              <w:rPr>
                <w:sz w:val="19"/>
                <w:szCs w:val="19"/>
              </w:rPr>
              <w:t xml:space="preserve">Comprehensive SR Storage</w:t>
            </w:r>
          </w:p>
        </w:tc>
        <w:tc>
          <w:tcPr>
            <w:tcW w:type="dxa" w:w="2059"/>
            <w:shd w:fill="FFFFFF" w:color="auto" w:val="clear"/>
            <w:tcMar>
              <w:top w:type="dxa" w:w="90"/>
              <w:left w:type="dxa" w:w="120"/>
              <w:bottom w:type="dxa" w:w="90"/>
              <w:right w:type="dxa" w:w="120"/>
            </w:tcMar>
            <w:vAlign w:val="center"/>
          </w:tcPr>
          <w:p>
            <w:r>
              <w:rPr>
                <w:sz w:val="19"/>
                <w:szCs w:val="19"/>
              </w:rPr>
              <w:t xml:space="preserve">1.2.840.10008.5.1.4.1.1.88.33</w:t>
            </w:r>
          </w:p>
        </w:tc>
      </w:tr>
      <w:tr>
        <w:trPr>
          <w:cantSplit w:val="false"/>
        </w:trPr>
        <w:tc>
          <w:tcPr>
            <w:tcW w:type="dxa" w:w="2808"/>
            <w:shd w:fill="F2F2F2" w:color="auto" w:val="clear"/>
            <w:tcMar>
              <w:top w:type="dxa" w:w="90"/>
              <w:left w:type="dxa" w:w="120"/>
              <w:bottom w:type="dxa" w:w="90"/>
              <w:right w:type="dxa" w:w="120"/>
            </w:tcMar>
            <w:vAlign w:val="center"/>
          </w:tcPr>
          <w:p>
            <w:r>
              <w:rPr>
                <w:sz w:val="19"/>
                <w:szCs w:val="19"/>
              </w:rPr>
              <w:t xml:space="preserve">Structured Report (chest CAD-specific)</w:t>
            </w:r>
          </w:p>
        </w:tc>
        <w:tc>
          <w:tcPr>
            <w:tcW w:type="dxa" w:w="4493"/>
            <w:shd w:fill="F2F2F2" w:color="auto" w:val="clear"/>
            <w:tcMar>
              <w:top w:type="dxa" w:w="90"/>
              <w:left w:type="dxa" w:w="120"/>
              <w:bottom w:type="dxa" w:w="90"/>
              <w:right w:type="dxa" w:w="120"/>
            </w:tcMar>
            <w:vAlign w:val="center"/>
          </w:tcPr>
          <w:p>
            <w:r>
              <w:rPr>
                <w:sz w:val="19"/>
                <w:szCs w:val="19"/>
              </w:rPr>
              <w:t xml:space="preserve">Chest CAD SR Storage</w:t>
            </w:r>
          </w:p>
        </w:tc>
        <w:tc>
          <w:tcPr>
            <w:tcW w:type="dxa" w:w="2059"/>
            <w:shd w:fill="F2F2F2" w:color="auto" w:val="clear"/>
            <w:tcMar>
              <w:top w:type="dxa" w:w="90"/>
              <w:left w:type="dxa" w:w="120"/>
              <w:bottom w:type="dxa" w:w="90"/>
              <w:right w:type="dxa" w:w="120"/>
            </w:tcMar>
            <w:vAlign w:val="center"/>
          </w:tcPr>
          <w:p>
            <w:r>
              <w:rPr>
                <w:sz w:val="19"/>
                <w:szCs w:val="19"/>
              </w:rPr>
              <w:t xml:space="preserve">1.2.840.10008.5.1.4.1.1.88.65</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Encapsulated PDF</w:t>
            </w:r>
          </w:p>
        </w:tc>
        <w:tc>
          <w:tcPr>
            <w:tcW w:type="dxa" w:w="4493"/>
            <w:shd w:fill="FFFFFF" w:color="auto" w:val="clear"/>
            <w:tcMar>
              <w:top w:type="dxa" w:w="90"/>
              <w:left w:type="dxa" w:w="120"/>
              <w:bottom w:type="dxa" w:w="90"/>
              <w:right w:type="dxa" w:w="120"/>
            </w:tcMar>
            <w:vAlign w:val="center"/>
          </w:tcPr>
          <w:p>
            <w:r>
              <w:rPr>
                <w:sz w:val="19"/>
                <w:szCs w:val="19"/>
              </w:rPr>
              <w:t xml:space="preserve">Encapsulated PDF Storage</w:t>
            </w:r>
          </w:p>
        </w:tc>
        <w:tc>
          <w:tcPr>
            <w:tcW w:type="dxa" w:w="2059"/>
            <w:shd w:fill="FFFFFF" w:color="auto" w:val="clear"/>
            <w:tcMar>
              <w:top w:type="dxa" w:w="90"/>
              <w:left w:type="dxa" w:w="120"/>
              <w:bottom w:type="dxa" w:w="90"/>
              <w:right w:type="dxa" w:w="120"/>
            </w:tcMar>
            <w:vAlign w:val="center"/>
          </w:tcPr>
          <w:p>
            <w:r>
              <w:rPr>
                <w:sz w:val="19"/>
                <w:szCs w:val="19"/>
              </w:rPr>
              <w:t xml:space="preserve">1.2.840.10008.5.1.4.1.1.104.1</w:t>
            </w:r>
          </w:p>
        </w:tc>
      </w:tr>
    </w:tbl>
    <w:p>
      <w:pPr>
        <w:spacing w:after="160"/>
      </w:pPr>
    </w:p>
    <w:p>
      <w:pPr>
        <w:spacing w:after="160" w:line="276"/>
      </w:pPr>
      <w:r>
        <w:t xml:space="preserve">Documented output, per the current qXR Instructions for Use (v4.2, Sept 2024): only Secondary Capture and/or GSPS, plus PDF reports. Structured Report (SR) is not mentioned in that document at all — yet Qure's developer API documentation and qER's output spec both explicitly list an SR file, and a 2022 release note references “SR TID1500” engineering work by name. This is a real, unresolved discrepancy between two Qure-authored sources, not just document age — see Appendix A item 3.</w:t>
      </w:r>
    </w:p>
    <w:p>
      <w:pPr>
        <w:spacing w:after="160" w:line="276"/>
      </w:pPr>
      <w:r>
        <w:t xml:space="preserve">Separately: the Gateway's DICOM publisher lets an administrator choose which result types get pushed back to the PACS, with options SC / SR / pdf — GSPS is not one of the choices, despite being one of only two DICOM output formats the current IFU names. Also flagged in Appendix A.</w:t>
      </w:r>
    </w:p>
    <w:p>
      <w:pPr>
        <w:pStyle w:val="Heading2"/>
        <w:spacing w:after="120" w:before="280"/>
      </w:pPr>
      <w:r>
        <w:rPr>
          <w:b/>
          <w:bCs/>
          <w:color w:val="0E7C86"/>
        </w:rPr>
        <w:t xml:space="preserve">5.3 Network configuration — conflicting information found</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808"/>
        <w:gridCol w:w="3276"/>
        <w:gridCol w:w="3276"/>
      </w:tblGrid>
      <w:tr>
        <w:trPr>
          <w:tblHeader/>
        </w:trPr>
        <w:tc>
          <w:tcPr>
            <w:tcW w:type="dxa" w:w="2808"/>
            <w:shd w:fill="1F3864" w:color="auto" w:val="clear"/>
            <w:tcMar>
              <w:top w:type="dxa" w:w="100"/>
              <w:left w:type="dxa" w:w="120"/>
              <w:bottom w:type="dxa" w:w="100"/>
              <w:right w:type="dxa" w:w="120"/>
            </w:tcMar>
            <w:vAlign w:val="center"/>
          </w:tcPr>
          <w:p>
            <w:r>
              <w:rPr>
                <w:b/>
                <w:bCs/>
                <w:color w:val="FFFFFF"/>
                <w:sz w:val="19"/>
                <w:szCs w:val="19"/>
              </w:rPr>
              <w:t xml:space="preserve">Setting</w:t>
            </w:r>
          </w:p>
        </w:tc>
        <w:tc>
          <w:tcPr>
            <w:tcW w:type="dxa" w:w="3276"/>
            <w:shd w:fill="1F3864" w:color="auto" w:val="clear"/>
            <w:tcMar>
              <w:top w:type="dxa" w:w="100"/>
              <w:left w:type="dxa" w:w="120"/>
              <w:bottom w:type="dxa" w:w="100"/>
              <w:right w:type="dxa" w:w="120"/>
            </w:tcMar>
            <w:vAlign w:val="center"/>
          </w:tcPr>
          <w:p>
            <w:r>
              <w:rPr>
                <w:b/>
                <w:bCs/>
                <w:color w:val="FFFFFF"/>
                <w:sz w:val="19"/>
                <w:szCs w:val="19"/>
              </w:rPr>
              <w:t xml:space="preserve">Source A</w:t>
            </w:r>
          </w:p>
        </w:tc>
        <w:tc>
          <w:tcPr>
            <w:tcW w:type="dxa" w:w="3276"/>
            <w:shd w:fill="1F3864" w:color="auto" w:val="clear"/>
            <w:tcMar>
              <w:top w:type="dxa" w:w="100"/>
              <w:left w:type="dxa" w:w="120"/>
              <w:bottom w:type="dxa" w:w="100"/>
              <w:right w:type="dxa" w:w="120"/>
            </w:tcMar>
            <w:vAlign w:val="center"/>
          </w:tcPr>
          <w:p>
            <w:r>
              <w:rPr>
                <w:b/>
                <w:bCs/>
                <w:color w:val="FFFFFF"/>
                <w:sz w:val="19"/>
                <w:szCs w:val="19"/>
              </w:rPr>
              <w:t xml:space="preserve">Source B</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Gateway/DCMIO DICOM port</w:t>
            </w:r>
          </w:p>
        </w:tc>
        <w:tc>
          <w:tcPr>
            <w:tcW w:type="dxa" w:w="3276"/>
            <w:shd w:fill="FFFFFF" w:color="auto" w:val="clear"/>
            <w:tcMar>
              <w:top w:type="dxa" w:w="90"/>
              <w:left w:type="dxa" w:w="120"/>
              <w:bottom w:type="dxa" w:w="90"/>
              <w:right w:type="dxa" w:w="120"/>
            </w:tcMar>
            <w:vAlign w:val="center"/>
          </w:tcPr>
          <w:p>
            <w:r>
              <w:rPr>
                <w:sz w:val="19"/>
                <w:szCs w:val="19"/>
              </w:rPr>
              <w:t xml:space="preserve">5252 (Gateway product documentation)</w:t>
            </w:r>
          </w:p>
        </w:tc>
        <w:tc>
          <w:tcPr>
            <w:tcW w:type="dxa" w:w="3276"/>
            <w:shd w:fill="FFFFFF" w:color="auto" w:val="clear"/>
            <w:tcMar>
              <w:top w:type="dxa" w:w="90"/>
              <w:left w:type="dxa" w:w="120"/>
              <w:bottom w:type="dxa" w:w="90"/>
              <w:right w:type="dxa" w:w="120"/>
            </w:tcMar>
            <w:vAlign w:val="center"/>
          </w:tcPr>
          <w:p>
            <w:r>
              <w:rPr>
                <w:sz w:val="19"/>
                <w:szCs w:val="19"/>
              </w:rPr>
              <w:t xml:space="preserve">4242 (qXR Instructions for Use, on-premise Gateway table)</w:t>
            </w:r>
          </w:p>
        </w:tc>
      </w:tr>
      <w:tr>
        <w:trPr>
          <w:cantSplit w:val="false"/>
        </w:trPr>
        <w:tc>
          <w:tcPr>
            <w:tcW w:type="dxa" w:w="2808"/>
            <w:shd w:fill="F2F2F2" w:color="auto" w:val="clear"/>
            <w:tcMar>
              <w:top w:type="dxa" w:w="90"/>
              <w:left w:type="dxa" w:w="120"/>
              <w:bottom w:type="dxa" w:w="90"/>
              <w:right w:type="dxa" w:w="120"/>
            </w:tcMar>
            <w:vAlign w:val="center"/>
          </w:tcPr>
          <w:p>
            <w:r>
              <w:rPr>
                <w:sz w:val="19"/>
                <w:szCs w:val="19"/>
              </w:rPr>
              <w:t xml:space="preserve">AE Title</w:t>
            </w:r>
          </w:p>
        </w:tc>
        <w:tc>
          <w:tcPr>
            <w:tcW w:type="dxa" w:w="3276"/>
            <w:shd w:fill="F2F2F2" w:color="auto" w:val="clear"/>
            <w:tcMar>
              <w:top w:type="dxa" w:w="90"/>
              <w:left w:type="dxa" w:w="120"/>
              <w:bottom w:type="dxa" w:w="90"/>
              <w:right w:type="dxa" w:w="120"/>
            </w:tcMar>
            <w:vAlign w:val="center"/>
          </w:tcPr>
          <w:p>
            <w:r>
              <w:rPr>
                <w:sz w:val="19"/>
                <w:szCs w:val="19"/>
              </w:rPr>
              <w:t xml:space="preserve">QUREAI</w:t>
            </w:r>
          </w:p>
        </w:tc>
        <w:tc>
          <w:tcPr>
            <w:tcW w:type="dxa" w:w="3276"/>
            <w:shd w:fill="F2F2F2" w:color="auto" w:val="clear"/>
            <w:tcMar>
              <w:top w:type="dxa" w:w="90"/>
              <w:left w:type="dxa" w:w="120"/>
              <w:bottom w:type="dxa" w:w="90"/>
              <w:right w:type="dxa" w:w="120"/>
            </w:tcMar>
            <w:vAlign w:val="center"/>
          </w:tcPr>
          <w:p>
            <w:r>
              <w:rPr>
                <w:sz w:val="19"/>
                <w:szCs w:val="19"/>
              </w:rPr>
              <w:t xml:space="preserve">— not restated in the IFU</w:t>
            </w:r>
          </w:p>
        </w:tc>
      </w:tr>
      <w:tr>
        <w:trPr>
          <w:cantSplit w:val="false"/>
        </w:trPr>
        <w:tc>
          <w:tcPr>
            <w:tcW w:type="dxa" w:w="2808"/>
            <w:shd w:fill="FFFFFF" w:color="auto" w:val="clear"/>
            <w:tcMar>
              <w:top w:type="dxa" w:w="90"/>
              <w:left w:type="dxa" w:w="120"/>
              <w:bottom w:type="dxa" w:w="90"/>
              <w:right w:type="dxa" w:w="120"/>
            </w:tcMar>
            <w:vAlign w:val="center"/>
          </w:tcPr>
          <w:p>
            <w:r>
              <w:rPr>
                <w:sz w:val="19"/>
                <w:szCs w:val="19"/>
              </w:rPr>
              <w:t xml:space="preserve">Local Gateway admin/config UI</w:t>
            </w:r>
          </w:p>
        </w:tc>
        <w:tc>
          <w:tcPr>
            <w:tcW w:type="dxa" w:w="3276"/>
            <w:shd w:fill="FFFFFF" w:color="auto" w:val="clear"/>
            <w:tcMar>
              <w:top w:type="dxa" w:w="90"/>
              <w:left w:type="dxa" w:w="120"/>
              <w:bottom w:type="dxa" w:w="90"/>
              <w:right w:type="dxa" w:w="120"/>
            </w:tcMar>
            <w:vAlign w:val="center"/>
          </w:tcPr>
          <w:p>
            <w:r>
              <w:rPr>
                <w:sz w:val="19"/>
                <w:szCs w:val="19"/>
              </w:rPr>
              <w:t xml:space="preserve">localhost:7000/config/</w:t>
            </w:r>
          </w:p>
        </w:tc>
        <w:tc>
          <w:tcPr>
            <w:tcW w:type="dxa" w:w="3276"/>
            <w:shd w:fill="FFFFFF" w:color="auto" w:val="clear"/>
            <w:tcMar>
              <w:top w:type="dxa" w:w="90"/>
              <w:left w:type="dxa" w:w="120"/>
              <w:bottom w:type="dxa" w:w="90"/>
              <w:right w:type="dxa" w:w="120"/>
            </w:tcMar>
            <w:vAlign w:val="center"/>
          </w:tcPr>
          <w:p>
            <w:r>
              <w:rPr>
                <w:sz w:val="19"/>
                <w:szCs w:val="19"/>
              </w:rPr>
              <w:t xml:space="preserve">— not mentioned in IFU or qTrack manual</w:t>
            </w:r>
          </w:p>
        </w:tc>
      </w:tr>
    </w:tbl>
    <w:p>
      <w:pPr>
        <w:spacing w:after="160"/>
      </w:pPr>
    </w:p>
    <w:p>
      <w:pPr>
        <w:spacing w:after="160" w:line="276"/>
      </w:pPr>
      <w:r>
        <w:t xml:space="preserve">The qTrack laptop's own user manual confirms Gateway is installed and functionally required (“scans acquired will not reach qTrack for processing” without it) but never states which port or AE Title it actually uses on that specific appliance. Do not configure firewall rules or modality push targets from either number above without confirming with Qure first.</w:t>
      </w:r>
    </w:p>
    <w:p>
      <w:pPr>
        <w:pStyle w:val="Heading1"/>
        <w:pBdr>
          <w:bottom w:val="single" w:color="1F3864" w:sz="6" w:space="4"/>
        </w:pBdr>
        <w:spacing w:after="160" w:before="360"/>
      </w:pPr>
      <w:r>
        <w:rPr>
          <w:b/>
          <w:bCs/>
          <w:color w:val="1F3864"/>
        </w:rPr>
        <w:t xml:space="preserve">6. HL7 / FHIR Findings</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No FHIR interface exists anywhere in Qure's documentation that we could find. A real (if narrow) HL7 interface does exist: the Gateway can be configured to push results to an HL7 listener (host/port), and qER's API output separately includes an HL7-formatted result file. Neither is a two-way, standards-rich HL7/FHIR integration — if your EMR needs ADT/orders or FHIR resources out of this pipeline, that is not built in today and would need a broker (e.g., an interface engine) in between.</w:t>
            </w:r>
          </w:p>
        </w:tc>
      </w:tr>
    </w:tbl>
    <w:p>
      <w:pPr>
        <w:pStyle w:val="ListParagraph"/>
        <w:numPr>
          <w:ilvl w:val="0"/>
          <w:numId w:val="2"/>
        </w:numPr>
        <w:spacing w:after="80" w:line="264"/>
      </w:pPr>
      <w:r>
        <w:t xml:space="preserve">Gateway “Publishers” configuration has a genuine HL7 publisher option: administrator supplies a target Host and Port; presumed classic HL7 v2 (likely ORU-style), message trigger/segment structure not documented.</w:t>
      </w:r>
    </w:p>
    <w:p>
      <w:pPr>
        <w:pStyle w:val="ListParagraph"/>
        <w:numPr>
          <w:ilvl w:val="0"/>
          <w:numId w:val="2"/>
        </w:numPr>
        <w:spacing w:after="80" w:line="264"/>
      </w:pPr>
      <w:r>
        <w:t xml:space="preserve">qER's Platform API output bundle includes a *_hl7_report.hl7 file alongside PDF/SR/text variants — an outbound artifact, not an interface.</w:t>
      </w:r>
    </w:p>
    <w:p>
      <w:pPr>
        <w:pStyle w:val="ListParagraph"/>
        <w:numPr>
          <w:ilvl w:val="0"/>
          <w:numId w:val="2"/>
        </w:numPr>
        <w:spacing w:after="80" w:line="264"/>
      </w:pPr>
      <w:r>
        <w:t xml:space="preserve">No mention of FHIR (resources, endpoints, or otherwise) anywhere across the App docs, Gateway docs, Platform API docs, qXR IFU, or qTrack manual.</w:t>
      </w:r>
    </w:p>
    <w:p>
      <w:pPr>
        <w:pStyle w:val="Heading1"/>
        <w:pBdr>
          <w:bottom w:val="single" w:color="1F3864" w:sz="6" w:space="4"/>
        </w:pBdr>
        <w:spacing w:after="160" w:before="360"/>
      </w:pPr>
      <w:r>
        <w:rPr>
          <w:b/>
          <w:bCs/>
          <w:color w:val="1F3864"/>
        </w:rPr>
        <w:t xml:space="preserve">7. Infrastructure &amp; On-Premise Deployment</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The current, authoritative hardware spec (from Qure's Sept 2024 Instructions for Use) calls for a fairly ordinary workstation GPU — not the specialized data-center card (Tesla T4) we initially assumed from older public docs. The T4 turned out to be Qure's AWS cloud reference configuration, not their on-premise recommendation. Separately: the older public deployment instructions we found are 3 years stale and include a credential that authenticates but no longer has working access — do not build from that page.</w:t>
            </w:r>
          </w:p>
        </w:tc>
      </w:tr>
    </w:tbl>
    <w:p>
      <w:pPr>
        <w:pStyle w:val="Heading2"/>
        <w:spacing w:after="120" w:before="280"/>
      </w:pPr>
      <w:r>
        <w:rPr>
          <w:b/>
          <w:bCs/>
          <w:color w:val="0E7C86"/>
        </w:rPr>
        <w:t xml:space="preserve">7.1 Official infrastructure requirements (qXR IFU v4.2, Sept 2024)</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246"/>
        <w:gridCol w:w="3931"/>
        <w:gridCol w:w="3182"/>
      </w:tblGrid>
      <w:tr>
        <w:trPr>
          <w:tblHeader/>
        </w:trPr>
        <w:tc>
          <w:tcPr>
            <w:tcW w:type="dxa" w:w="2246"/>
            <w:shd w:fill="1F3864" w:color="auto" w:val="clear"/>
            <w:tcMar>
              <w:top w:type="dxa" w:w="100"/>
              <w:left w:type="dxa" w:w="120"/>
              <w:bottom w:type="dxa" w:w="100"/>
              <w:right w:type="dxa" w:w="120"/>
            </w:tcMar>
            <w:vAlign w:val="center"/>
          </w:tcPr>
          <w:p>
            <w:r>
              <w:rPr>
                <w:b/>
                <w:bCs/>
                <w:color w:val="FFFFFF"/>
                <w:sz w:val="19"/>
                <w:szCs w:val="19"/>
              </w:rPr>
              <w:t xml:space="preserve">Requirement</w:t>
            </w:r>
          </w:p>
        </w:tc>
        <w:tc>
          <w:tcPr>
            <w:tcW w:type="dxa" w:w="3931"/>
            <w:shd w:fill="1F3864" w:color="auto" w:val="clear"/>
            <w:tcMar>
              <w:top w:type="dxa" w:w="100"/>
              <w:left w:type="dxa" w:w="120"/>
              <w:bottom w:type="dxa" w:w="100"/>
              <w:right w:type="dxa" w:w="120"/>
            </w:tcMar>
            <w:vAlign w:val="center"/>
          </w:tcPr>
          <w:p>
            <w:r>
              <w:rPr>
                <w:b/>
                <w:bCs/>
                <w:color w:val="FFFFFF"/>
                <w:sz w:val="19"/>
                <w:szCs w:val="19"/>
              </w:rPr>
              <w:t xml:space="preserve">Recommended</w:t>
            </w:r>
          </w:p>
        </w:tc>
        <w:tc>
          <w:tcPr>
            <w:tcW w:type="dxa" w:w="3182"/>
            <w:shd w:fill="1F3864" w:color="auto" w:val="clear"/>
            <w:tcMar>
              <w:top w:type="dxa" w:w="100"/>
              <w:left w:type="dxa" w:w="120"/>
              <w:bottom w:type="dxa" w:w="100"/>
              <w:right w:type="dxa" w:w="120"/>
            </w:tcMar>
            <w:vAlign w:val="center"/>
          </w:tcPr>
          <w:p>
            <w:r>
              <w:rPr>
                <w:b/>
                <w:bCs/>
                <w:color w:val="FFFFFF"/>
                <w:sz w:val="19"/>
                <w:szCs w:val="19"/>
              </w:rPr>
              <w:t xml:space="preserve">Minimum</w:t>
            </w:r>
          </w:p>
        </w:tc>
      </w:tr>
      <w:tr>
        <w:trPr>
          <w:cantSplit w:val="false"/>
        </w:trPr>
        <w:tc>
          <w:tcPr>
            <w:tcW w:type="dxa" w:w="2246"/>
            <w:shd w:fill="FFFFFF" w:color="auto" w:val="clear"/>
            <w:tcMar>
              <w:top w:type="dxa" w:w="90"/>
              <w:left w:type="dxa" w:w="120"/>
              <w:bottom w:type="dxa" w:w="90"/>
              <w:right w:type="dxa" w:w="120"/>
            </w:tcMar>
            <w:vAlign w:val="center"/>
          </w:tcPr>
          <w:p>
            <w:r>
              <w:rPr>
                <w:sz w:val="19"/>
                <w:szCs w:val="19"/>
              </w:rPr>
              <w:t xml:space="preserve">CPU</w:t>
            </w:r>
          </w:p>
        </w:tc>
        <w:tc>
          <w:tcPr>
            <w:tcW w:type="dxa" w:w="3931"/>
            <w:shd w:fill="FFFFFF" w:color="auto" w:val="clear"/>
            <w:tcMar>
              <w:top w:type="dxa" w:w="90"/>
              <w:left w:type="dxa" w:w="120"/>
              <w:bottom w:type="dxa" w:w="90"/>
              <w:right w:type="dxa" w:w="120"/>
            </w:tcMar>
            <w:vAlign w:val="center"/>
          </w:tcPr>
          <w:p>
            <w:r>
              <w:rPr>
                <w:sz w:val="19"/>
                <w:szCs w:val="19"/>
              </w:rPr>
              <w:t xml:space="preserve">Intel i7, 8th gen</w:t>
            </w:r>
          </w:p>
        </w:tc>
        <w:tc>
          <w:tcPr>
            <w:tcW w:type="dxa" w:w="3182"/>
            <w:shd w:fill="FFFFFF" w:color="auto" w:val="clear"/>
            <w:tcMar>
              <w:top w:type="dxa" w:w="90"/>
              <w:left w:type="dxa" w:w="120"/>
              <w:bottom w:type="dxa" w:w="90"/>
              <w:right w:type="dxa" w:w="120"/>
            </w:tcMar>
            <w:vAlign w:val="center"/>
          </w:tcPr>
          <w:p>
            <w:r>
              <w:rPr>
                <w:sz w:val="19"/>
                <w:szCs w:val="19"/>
              </w:rPr>
              <w:t xml:space="preserve">Intel i7, 8th gen</w:t>
            </w:r>
          </w:p>
        </w:tc>
      </w:tr>
      <w:tr>
        <w:trPr>
          <w:cantSplit w:val="false"/>
        </w:trPr>
        <w:tc>
          <w:tcPr>
            <w:tcW w:type="dxa" w:w="2246"/>
            <w:shd w:fill="F2F2F2" w:color="auto" w:val="clear"/>
            <w:tcMar>
              <w:top w:type="dxa" w:w="90"/>
              <w:left w:type="dxa" w:w="120"/>
              <w:bottom w:type="dxa" w:w="90"/>
              <w:right w:type="dxa" w:w="120"/>
            </w:tcMar>
            <w:vAlign w:val="center"/>
          </w:tcPr>
          <w:p>
            <w:r>
              <w:rPr>
                <w:sz w:val="19"/>
                <w:szCs w:val="19"/>
              </w:rPr>
              <w:t xml:space="preserve">RAM</w:t>
            </w:r>
          </w:p>
        </w:tc>
        <w:tc>
          <w:tcPr>
            <w:tcW w:type="dxa" w:w="3931"/>
            <w:shd w:fill="F2F2F2" w:color="auto" w:val="clear"/>
            <w:tcMar>
              <w:top w:type="dxa" w:w="90"/>
              <w:left w:type="dxa" w:w="120"/>
              <w:bottom w:type="dxa" w:w="90"/>
              <w:right w:type="dxa" w:w="120"/>
            </w:tcMar>
            <w:vAlign w:val="center"/>
          </w:tcPr>
          <w:p>
            <w:r>
              <w:rPr>
                <w:sz w:val="19"/>
                <w:szCs w:val="19"/>
              </w:rPr>
              <w:t xml:space="preserve">16 GB</w:t>
            </w:r>
          </w:p>
        </w:tc>
        <w:tc>
          <w:tcPr>
            <w:tcW w:type="dxa" w:w="3182"/>
            <w:shd w:fill="F2F2F2" w:color="auto" w:val="clear"/>
            <w:tcMar>
              <w:top w:type="dxa" w:w="90"/>
              <w:left w:type="dxa" w:w="120"/>
              <w:bottom w:type="dxa" w:w="90"/>
              <w:right w:type="dxa" w:w="120"/>
            </w:tcMar>
            <w:vAlign w:val="center"/>
          </w:tcPr>
          <w:p>
            <w:r>
              <w:rPr>
                <w:sz w:val="19"/>
                <w:szCs w:val="19"/>
              </w:rPr>
              <w:t xml:space="preserve">8 GB</w:t>
            </w:r>
          </w:p>
        </w:tc>
      </w:tr>
      <w:tr>
        <w:trPr>
          <w:cantSplit w:val="false"/>
        </w:trPr>
        <w:tc>
          <w:tcPr>
            <w:tcW w:type="dxa" w:w="2246"/>
            <w:shd w:fill="FFFFFF" w:color="auto" w:val="clear"/>
            <w:tcMar>
              <w:top w:type="dxa" w:w="90"/>
              <w:left w:type="dxa" w:w="120"/>
              <w:bottom w:type="dxa" w:w="90"/>
              <w:right w:type="dxa" w:w="120"/>
            </w:tcMar>
            <w:vAlign w:val="center"/>
          </w:tcPr>
          <w:p>
            <w:r>
              <w:rPr>
                <w:sz w:val="19"/>
                <w:szCs w:val="19"/>
              </w:rPr>
              <w:t xml:space="preserve">GPU</w:t>
            </w:r>
          </w:p>
        </w:tc>
        <w:tc>
          <w:tcPr>
            <w:tcW w:type="dxa" w:w="3931"/>
            <w:shd w:fill="FFFFFF" w:color="auto" w:val="clear"/>
            <w:tcMar>
              <w:top w:type="dxa" w:w="90"/>
              <w:left w:type="dxa" w:w="120"/>
              <w:bottom w:type="dxa" w:w="90"/>
              <w:right w:type="dxa" w:w="120"/>
            </w:tcMar>
            <w:vAlign w:val="center"/>
          </w:tcPr>
          <w:p>
            <w:r>
              <w:rPr>
                <w:sz w:val="19"/>
                <w:szCs w:val="19"/>
              </w:rPr>
              <w:t xml:space="preserve">NVIDIA GTX 1080 Ti, 12 GB VRAM</w:t>
            </w:r>
          </w:p>
        </w:tc>
        <w:tc>
          <w:tcPr>
            <w:tcW w:type="dxa" w:w="3182"/>
            <w:shd w:fill="FFFFFF" w:color="auto" w:val="clear"/>
            <w:tcMar>
              <w:top w:type="dxa" w:w="90"/>
              <w:left w:type="dxa" w:w="120"/>
              <w:bottom w:type="dxa" w:w="90"/>
              <w:right w:type="dxa" w:w="120"/>
            </w:tcMar>
            <w:vAlign w:val="center"/>
          </w:tcPr>
          <w:p>
            <w:r>
              <w:rPr>
                <w:sz w:val="19"/>
                <w:szCs w:val="19"/>
              </w:rPr>
              <w:t xml:space="preserve">NVIDIA GTX 1070 Ti, 8 GB VRAM</w:t>
            </w:r>
          </w:p>
        </w:tc>
      </w:tr>
      <w:tr>
        <w:trPr>
          <w:cantSplit w:val="false"/>
        </w:trPr>
        <w:tc>
          <w:tcPr>
            <w:tcW w:type="dxa" w:w="2246"/>
            <w:shd w:fill="F2F2F2" w:color="auto" w:val="clear"/>
            <w:tcMar>
              <w:top w:type="dxa" w:w="90"/>
              <w:left w:type="dxa" w:w="120"/>
              <w:bottom w:type="dxa" w:w="90"/>
              <w:right w:type="dxa" w:w="120"/>
            </w:tcMar>
            <w:vAlign w:val="center"/>
          </w:tcPr>
          <w:p>
            <w:r>
              <w:rPr>
                <w:sz w:val="19"/>
                <w:szCs w:val="19"/>
              </w:rPr>
              <w:t xml:space="preserve">Disk</w:t>
            </w:r>
          </w:p>
        </w:tc>
        <w:tc>
          <w:tcPr>
            <w:tcW w:type="dxa" w:w="3931"/>
            <w:shd w:fill="F2F2F2" w:color="auto" w:val="clear"/>
            <w:tcMar>
              <w:top w:type="dxa" w:w="90"/>
              <w:left w:type="dxa" w:w="120"/>
              <w:bottom w:type="dxa" w:w="90"/>
              <w:right w:type="dxa" w:w="120"/>
            </w:tcMar>
            <w:vAlign w:val="center"/>
          </w:tcPr>
          <w:p>
            <w:r>
              <w:rPr>
                <w:sz w:val="19"/>
                <w:szCs w:val="19"/>
              </w:rPr>
              <w:t xml:space="preserve">1 TB</w:t>
            </w:r>
          </w:p>
        </w:tc>
        <w:tc>
          <w:tcPr>
            <w:tcW w:type="dxa" w:w="3182"/>
            <w:shd w:fill="F2F2F2" w:color="auto" w:val="clear"/>
            <w:tcMar>
              <w:top w:type="dxa" w:w="90"/>
              <w:left w:type="dxa" w:w="120"/>
              <w:bottom w:type="dxa" w:w="90"/>
              <w:right w:type="dxa" w:w="120"/>
            </w:tcMar>
            <w:vAlign w:val="center"/>
          </w:tcPr>
          <w:p>
            <w:r>
              <w:rPr>
                <w:sz w:val="19"/>
                <w:szCs w:val="19"/>
              </w:rPr>
              <w:t xml:space="preserve">50 GB (+128 GB SSD noted separately)</w:t>
            </w:r>
          </w:p>
        </w:tc>
      </w:tr>
      <w:tr>
        <w:trPr>
          <w:cantSplit w:val="false"/>
        </w:trPr>
        <w:tc>
          <w:tcPr>
            <w:tcW w:type="dxa" w:w="2246"/>
            <w:shd w:fill="FFFFFF" w:color="auto" w:val="clear"/>
            <w:tcMar>
              <w:top w:type="dxa" w:w="90"/>
              <w:left w:type="dxa" w:w="120"/>
              <w:bottom w:type="dxa" w:w="90"/>
              <w:right w:type="dxa" w:w="120"/>
            </w:tcMar>
            <w:vAlign w:val="center"/>
          </w:tcPr>
          <w:p>
            <w:r>
              <w:rPr>
                <w:sz w:val="19"/>
                <w:szCs w:val="19"/>
              </w:rPr>
              <w:t xml:space="preserve">Internet</w:t>
            </w:r>
          </w:p>
        </w:tc>
        <w:tc>
          <w:tcPr>
            <w:tcW w:type="dxa" w:w="3931"/>
            <w:shd w:fill="FFFFFF" w:color="auto" w:val="clear"/>
            <w:tcMar>
              <w:top w:type="dxa" w:w="90"/>
              <w:left w:type="dxa" w:w="120"/>
              <w:bottom w:type="dxa" w:w="90"/>
              <w:right w:type="dxa" w:w="120"/>
            </w:tcMar>
            <w:vAlign w:val="center"/>
          </w:tcPr>
          <w:p>
            <w:r>
              <w:rPr>
                <w:sz w:val="19"/>
                <w:szCs w:val="19"/>
              </w:rPr>
              <w:t xml:space="preserve">50 Mbps</w:t>
            </w:r>
          </w:p>
        </w:tc>
        <w:tc>
          <w:tcPr>
            <w:tcW w:type="dxa" w:w="3182"/>
            <w:shd w:fill="FFFFFF" w:color="auto" w:val="clear"/>
            <w:tcMar>
              <w:top w:type="dxa" w:w="90"/>
              <w:left w:type="dxa" w:w="120"/>
              <w:bottom w:type="dxa" w:w="90"/>
              <w:right w:type="dxa" w:w="120"/>
            </w:tcMar>
            <w:vAlign w:val="center"/>
          </w:tcPr>
          <w:p>
            <w:r>
              <w:rPr>
                <w:sz w:val="19"/>
                <w:szCs w:val="19"/>
              </w:rPr>
              <w:t xml:space="preserve">10 Mbps</w:t>
            </w:r>
          </w:p>
        </w:tc>
      </w:tr>
      <w:tr>
        <w:trPr>
          <w:cantSplit w:val="false"/>
        </w:trPr>
        <w:tc>
          <w:tcPr>
            <w:tcW w:type="dxa" w:w="2246"/>
            <w:shd w:fill="F2F2F2" w:color="auto" w:val="clear"/>
            <w:tcMar>
              <w:top w:type="dxa" w:w="90"/>
              <w:left w:type="dxa" w:w="120"/>
              <w:bottom w:type="dxa" w:w="90"/>
              <w:right w:type="dxa" w:w="120"/>
            </w:tcMar>
            <w:vAlign w:val="center"/>
          </w:tcPr>
          <w:p>
            <w:r>
              <w:rPr>
                <w:sz w:val="19"/>
                <w:szCs w:val="19"/>
              </w:rPr>
              <w:t xml:space="preserve">Cloud (AWS) reference</w:t>
            </w:r>
          </w:p>
        </w:tc>
        <w:tc>
          <w:tcPr>
            <w:tcW w:type="dxa" w:w="3931"/>
            <w:shd w:fill="F2F2F2" w:color="auto" w:val="clear"/>
            <w:tcMar>
              <w:top w:type="dxa" w:w="90"/>
              <w:left w:type="dxa" w:w="120"/>
              <w:bottom w:type="dxa" w:w="90"/>
              <w:right w:type="dxa" w:w="120"/>
            </w:tcMar>
            <w:vAlign w:val="center"/>
          </w:tcPr>
          <w:p>
            <w:r>
              <w:rPr>
                <w:sz w:val="19"/>
                <w:szCs w:val="19"/>
              </w:rPr>
              <w:t xml:space="preserve">Instance g4dn.2xlarge (Tesla T4-based), Ubuntu 20.04</w:t>
            </w:r>
          </w:p>
        </w:tc>
        <w:tc>
          <w:tcPr>
            <w:tcW w:type="dxa" w:w="3182"/>
            <w:shd w:fill="F2F2F2" w:color="auto" w:val="clear"/>
            <w:tcMar>
              <w:top w:type="dxa" w:w="90"/>
              <w:left w:type="dxa" w:w="120"/>
              <w:bottom w:type="dxa" w:w="90"/>
              <w:right w:type="dxa" w:w="120"/>
            </w:tcMar>
            <w:vAlign w:val="center"/>
          </w:tcPr>
          <w:p>
            <w:r>
              <w:rPr>
                <w:sz w:val="19"/>
                <w:szCs w:val="19"/>
              </w:rPr>
              <w:t xml:space="preserve">—</w:t>
            </w:r>
          </w:p>
        </w:tc>
      </w:tr>
      <w:tr>
        <w:trPr>
          <w:cantSplit w:val="false"/>
        </w:trPr>
        <w:tc>
          <w:tcPr>
            <w:tcW w:type="dxa" w:w="2246"/>
            <w:shd w:fill="FFFFFF" w:color="auto" w:val="clear"/>
            <w:tcMar>
              <w:top w:type="dxa" w:w="90"/>
              <w:left w:type="dxa" w:w="120"/>
              <w:bottom w:type="dxa" w:w="90"/>
              <w:right w:type="dxa" w:w="120"/>
            </w:tcMar>
            <w:vAlign w:val="center"/>
          </w:tcPr>
          <w:p>
            <w:r>
              <w:rPr>
                <w:sz w:val="19"/>
                <w:szCs w:val="19"/>
              </w:rPr>
              <w:t xml:space="preserve">On-premise Gateway</w:t>
            </w:r>
          </w:p>
        </w:tc>
        <w:tc>
          <w:tcPr>
            <w:tcW w:type="dxa" w:w="3931"/>
            <w:shd w:fill="FFFFFF" w:color="auto" w:val="clear"/>
            <w:tcMar>
              <w:top w:type="dxa" w:w="90"/>
              <w:left w:type="dxa" w:w="120"/>
              <w:bottom w:type="dxa" w:w="90"/>
              <w:right w:type="dxa" w:w="120"/>
            </w:tcMar>
            <w:vAlign w:val="center"/>
          </w:tcPr>
          <w:p>
            <w:r>
              <w:rPr>
                <w:sz w:val="19"/>
                <w:szCs w:val="19"/>
              </w:rPr>
              <w:t xml:space="preserve">8 GB RAM, 500 GB disk, Intel i3+, 10 Mbps internet, Docker 20.10.14, DICOM port 4242</w:t>
            </w:r>
          </w:p>
        </w:tc>
        <w:tc>
          <w:tcPr>
            <w:tcW w:type="dxa" w:w="3182"/>
            <w:shd w:fill="FFFFFF" w:color="auto" w:val="clear"/>
            <w:tcMar>
              <w:top w:type="dxa" w:w="90"/>
              <w:left w:type="dxa" w:w="120"/>
              <w:bottom w:type="dxa" w:w="90"/>
              <w:right w:type="dxa" w:w="120"/>
            </w:tcMar>
            <w:vAlign w:val="center"/>
          </w:tcPr>
          <w:p>
            <w:r>
              <w:rPr>
                <w:sz w:val="19"/>
                <w:szCs w:val="19"/>
              </w:rPr>
              <w:t xml:space="preserve">—</w:t>
            </w:r>
          </w:p>
        </w:tc>
      </w:tr>
    </w:tbl>
    <w:p>
      <w:pPr>
        <w:spacing w:after="160"/>
      </w:pPr>
    </w:p>
    <w:p>
      <w:pPr>
        <w:spacing w:after="160" w:line="276"/>
      </w:pPr>
      <w:r>
        <w:t xml:space="preserve">The IFU describes on-premise Gateway installation today as: Qure provides a download URL, the client downloads and installs the module. This is materially simpler than the raw docker-compose.yml + shared personal Docker Hub credential found on Qure's older public deployment page (next section) — request this current installer path instead.</w:t>
      </w:r>
    </w:p>
    <w:p>
      <w:pPr>
        <w:pStyle w:val="Heading2"/>
        <w:spacing w:after="120" w:before="280"/>
      </w:pPr>
      <w:r>
        <w:rPr>
          <w:b/>
          <w:bCs/>
          <w:color w:val="0E7C86"/>
        </w:rPr>
        <w:t xml:space="preserve">7.2 What we found on the older public on-prem deployment page (do not use as-is)</w:t>
      </w:r>
    </w:p>
    <w:p>
      <w:pPr>
        <w:pStyle w:val="ListParagraph"/>
        <w:numPr>
          <w:ilvl w:val="0"/>
          <w:numId w:val="2"/>
        </w:numPr>
        <w:spacing w:after="80" w:line="264"/>
      </w:pPr>
      <w:r>
        <w:t xml:space="preserve">A docker-compose.yml pinned to image tag 3.1.5, bundling nginx, a Postgres-backed qure-api service, GPU-backed worker containers, and separately-pulled model checkpoint images for qER/qCT/qXR/qXR-Blaze.</w:t>
      </w:r>
    </w:p>
    <w:p>
      <w:pPr>
        <w:pStyle w:val="ListParagraph"/>
        <w:numPr>
          <w:ilvl w:val="0"/>
          <w:numId w:val="2"/>
        </w:numPr>
        <w:spacing w:after="80" w:line="264"/>
      </w:pPr>
      <w:r>
        <w:t xml:space="preserve">A shared docker login credential (username tied to a named Qure engineer's personal account, scope repo:read) embedded directly in the public page. We tested it: it authenticates successfully against Docker Hub, but every attempted image pull against Qure's private repositories returns “access denied” — an org-level access problem, not a typo or a single-repo issue.</w:t>
      </w:r>
    </w:p>
    <w:p>
      <w:pPr>
        <w:pStyle w:val="ListParagraph"/>
        <w:numPr>
          <w:ilvl w:val="0"/>
          <w:numId w:val="2"/>
        </w:numPr>
        <w:spacing w:after="80" w:line="264"/>
      </w:pPr>
      <w:r>
        <w:t xml:space="preserve">Live revision check: this specific page is flagged “Last updated 3 years ago.” By contrast, the Gateway/DCMIO configuration documentation is “Last updated 2 years ago” — fresher, but still not current. Treat neither as a reliable build reference without confirmation.</w:t>
      </w:r>
    </w:p>
    <w:p>
      <w:pPr>
        <w:pStyle w:val="ListParagraph"/>
        <w:numPr>
          <w:ilvl w:val="0"/>
          <w:numId w:val="2"/>
        </w:numPr>
        <w:spacing w:after="80" w:line="264"/>
      </w:pPr>
      <w:r>
        <w:t xml:space="preserve">This heavier docker-compose deployment and the lighter laptop-class GPU spec in the current IFU may represent two different on-prem product tiers (a full multi-product server vs. a single-laptop qXR install) rather than the same offering described twice — unconfirmed, see Appendix A.</w:t>
      </w:r>
    </w:p>
    <w:p>
      <w:pPr>
        <w:pStyle w:val="Heading2"/>
        <w:spacing w:after="120" w:before="280"/>
      </w:pPr>
      <w:r>
        <w:rPr>
          <w:b/>
          <w:bCs/>
          <w:color w:val="0E7C86"/>
        </w:rPr>
        <w:t xml:space="preserve">7.3 Gateway = DCMIO (confirmed)</w:t>
      </w:r>
    </w:p>
    <w:p>
      <w:pPr>
        <w:spacing w:after="160" w:line="276"/>
      </w:pPr>
      <w:r>
        <w:t xml:space="preserve">Two independent statements in the qTrack manual confirm “Gateway” and “DCMIO” refer to the same component: the laptop's “do not delete” list names “gateway” as a preinstalled app, and the FAQ explicitly names “Qure Gateway” and describes its job as relaying scans for processing — identical to DCMIO's documented role everywhere else (“the world's finest DICOM study forwarder”). Gateway/DCMIO also appears to be the component performing patient de-identification before upload and re-identification after results return — its Upload/Publishers configuration has matching “Anonymize Fields” and “Fields To Deanonymize” options, and the qXR IFU independently describes a “client-side re-identification module” performing exactly this function.</w:t>
      </w:r>
    </w:p>
    <w:p>
      <w:pPr>
        <w:pStyle w:val="Heading2"/>
        <w:spacing w:after="120" w:before="280"/>
      </w:pPr>
      <w:r>
        <w:rPr>
          <w:b/>
          <w:bCs/>
          <w:color w:val="0E7C86"/>
        </w:rPr>
        <w:t xml:space="preserve">7.4 qTrack's cloud sync is likely separate from Gateway</w:t>
      </w:r>
    </w:p>
    <w:p>
      <w:pPr>
        <w:spacing w:after="160" w:line="276"/>
      </w:pPr>
      <w:r>
        <w:t xml:space="preserve">Working theory, not yet confirmed: patient/clinical data (forms, dashboard stats, non-image records) appears to sync to a qTrack-specific cloud workspace through a mechanism built into the qTrack application itself — a presumed proprietary REST interface — rather than through Gateway/DCMIO, which the qTrack manual ties specifically to image/scan transport. The qTrack laptop does run a locally-hosted web service (confirmed: the manual has a technologist pair a mobile phone to the laptop over local Wi-Fi and browse to the laptop's IP address on port 3000), but nothing in the manual documents a formal, external-facing API contract — CSV and PDF export are the only sanctioned data-egress paths described for end users.</w:t>
      </w:r>
    </w:p>
    <w:p>
      <w:pPr>
        <w:pStyle w:val="Heading1"/>
        <w:pBdr>
          <w:bottom w:val="single" w:color="1F3864" w:sz="6" w:space="4"/>
        </w:pBdr>
        <w:spacing w:after="160" w:before="360"/>
      </w:pPr>
      <w:r>
        <w:rPr>
          <w:b/>
          <w:bCs/>
          <w:color w:val="1F3864"/>
        </w:rPr>
        <w:t xml:space="preserve">8. Document Currency &amp; Reliability Assessment</w:t>
      </w:r>
    </w:p>
    <w:tbl>
      <w:tblPr>
        <w:tblW w:type="dxa" w:w="9360"/>
        <w:tblBorders>
          <w:top w:val="single" w:color="D6B656" w:sz="8"/>
          <w:left w:val="single" w:color="D6B656" w:sz="8"/>
          <w:bottom w:val="single" w:color="D6B656" w:sz="8"/>
          <w:right w:val="single" w:color="D6B656" w:sz="8"/>
          <w:insideH w:val="single" w:color="auto" w:sz="4"/>
          <w:insideV w:val="single" w:color="auto" w:sz="4"/>
        </w:tblBorders>
      </w:tblPr>
      <w:tblGrid>
        <w:gridCol w:w="9360"/>
      </w:tblGrid>
      <w:tr>
        <w:tc>
          <w:tcPr>
            <w:tcW w:type="dxa" w:w="9360"/>
            <w:shd w:fill="FFF2CC" w:color="auto" w:val="clear"/>
            <w:tcMar>
              <w:top w:type="dxa" w:w="160"/>
              <w:left w:type="dxa" w:w="200"/>
              <w:bottom w:type="dxa" w:w="160"/>
              <w:right w:type="dxa" w:w="200"/>
            </w:tcMar>
          </w:tcPr>
          <w:p>
            <w:pPr>
              <w:spacing w:after="100"/>
            </w:pPr>
            <w:r>
              <w:rPr>
                <w:b/>
                <w:bCs/>
                <w:color w:val="1F3864"/>
                <w:sz w:val="21"/>
                <w:szCs w:val="21"/>
              </w:rPr>
              <w:t xml:space="preserve">TL;DR — for the radiologist / decision-maker</w:t>
            </w:r>
          </w:p>
          <w:p>
            <w:pPr>
              <w:spacing w:after="80" w:line="264"/>
            </w:pPr>
            <w:r>
              <w:t xml:space="preserve">Not all Qure documentation is equally trustworthy. The Instructions for Use PDF you obtained directly from Qure (Sept 2024) is the most current and authoritative source we've reviewed. Public web documentation is a mix of actively-maintained and multi-year-stale pages, and there is no DICOM Conformance Statement published anywhere we could find — unusual for an FDA-cleared, DICOM-networked device, and worth requesting directly.</w:t>
            </w:r>
          </w:p>
        </w:tc>
      </w:tr>
    </w:tbl>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2434"/>
        <w:gridCol w:w="2995"/>
        <w:gridCol w:w="3931"/>
      </w:tblGrid>
      <w:tr>
        <w:trPr>
          <w:tblHeader/>
        </w:trPr>
        <w:tc>
          <w:tcPr>
            <w:tcW w:type="dxa" w:w="2434"/>
            <w:shd w:fill="1F3864" w:color="auto" w:val="clear"/>
            <w:tcMar>
              <w:top w:type="dxa" w:w="100"/>
              <w:left w:type="dxa" w:w="120"/>
              <w:bottom w:type="dxa" w:w="100"/>
              <w:right w:type="dxa" w:w="120"/>
            </w:tcMar>
            <w:vAlign w:val="center"/>
          </w:tcPr>
          <w:p>
            <w:r>
              <w:rPr>
                <w:b/>
                <w:bCs/>
                <w:color w:val="FFFFFF"/>
                <w:sz w:val="19"/>
                <w:szCs w:val="19"/>
              </w:rPr>
              <w:t xml:space="preserve">Source</w:t>
            </w:r>
          </w:p>
        </w:tc>
        <w:tc>
          <w:tcPr>
            <w:tcW w:type="dxa" w:w="2995"/>
            <w:shd w:fill="1F3864" w:color="auto" w:val="clear"/>
            <w:tcMar>
              <w:top w:type="dxa" w:w="100"/>
              <w:left w:type="dxa" w:w="120"/>
              <w:bottom w:type="dxa" w:w="100"/>
              <w:right w:type="dxa" w:w="120"/>
            </w:tcMar>
            <w:vAlign w:val="center"/>
          </w:tcPr>
          <w:p>
            <w:r>
              <w:rPr>
                <w:b/>
                <w:bCs/>
                <w:color w:val="FFFFFF"/>
                <w:sz w:val="19"/>
                <w:szCs w:val="19"/>
              </w:rPr>
              <w:t xml:space="preserve">Currency</w:t>
            </w:r>
          </w:p>
        </w:tc>
        <w:tc>
          <w:tcPr>
            <w:tcW w:type="dxa" w:w="3931"/>
            <w:shd w:fill="1F3864" w:color="auto" w:val="clear"/>
            <w:tcMar>
              <w:top w:type="dxa" w:w="100"/>
              <w:left w:type="dxa" w:w="120"/>
              <w:bottom w:type="dxa" w:w="100"/>
              <w:right w:type="dxa" w:w="120"/>
            </w:tcMar>
            <w:vAlign w:val="center"/>
          </w:tcPr>
          <w:p>
            <w:r>
              <w:rPr>
                <w:b/>
                <w:bCs/>
                <w:color w:val="FFFFFF"/>
                <w:sz w:val="19"/>
                <w:szCs w:val="19"/>
              </w:rPr>
              <w:t xml:space="preserve">Assessment</w:t>
            </w:r>
          </w:p>
        </w:tc>
      </w:tr>
      <w:tr>
        <w:trPr>
          <w:cantSplit w:val="false"/>
        </w:trPr>
        <w:tc>
          <w:tcPr>
            <w:tcW w:type="dxa" w:w="2434"/>
            <w:shd w:fill="FFFFFF" w:color="auto" w:val="clear"/>
            <w:tcMar>
              <w:top w:type="dxa" w:w="90"/>
              <w:left w:type="dxa" w:w="120"/>
              <w:bottom w:type="dxa" w:w="90"/>
              <w:right w:type="dxa" w:w="120"/>
            </w:tcMar>
            <w:vAlign w:val="center"/>
          </w:tcPr>
          <w:p>
            <w:r>
              <w:rPr>
                <w:sz w:val="19"/>
                <w:szCs w:val="19"/>
              </w:rPr>
              <w:t xml:space="preserve">qXR Instructions for Use, v4.2</w:t>
            </w:r>
          </w:p>
        </w:tc>
        <w:tc>
          <w:tcPr>
            <w:tcW w:type="dxa" w:w="2995"/>
            <w:shd w:fill="FFFFFF" w:color="auto" w:val="clear"/>
            <w:tcMar>
              <w:top w:type="dxa" w:w="90"/>
              <w:left w:type="dxa" w:w="120"/>
              <w:bottom w:type="dxa" w:w="90"/>
              <w:right w:type="dxa" w:w="120"/>
            </w:tcMar>
            <w:vAlign w:val="center"/>
          </w:tcPr>
          <w:p>
            <w:r>
              <w:rPr>
                <w:sz w:val="19"/>
                <w:szCs w:val="19"/>
              </w:rPr>
              <w:t xml:space="preserve">Dated 1 Sept 2024 (document supplied directly by Qure)</w:t>
            </w:r>
          </w:p>
        </w:tc>
        <w:tc>
          <w:tcPr>
            <w:tcW w:type="dxa" w:w="3931"/>
            <w:shd w:fill="FFFFFF" w:color="auto" w:val="clear"/>
            <w:tcMar>
              <w:top w:type="dxa" w:w="90"/>
              <w:left w:type="dxa" w:w="120"/>
              <w:bottom w:type="dxa" w:w="90"/>
              <w:right w:type="dxa" w:w="120"/>
            </w:tcMar>
            <w:vAlign w:val="center"/>
          </w:tcPr>
          <w:p>
            <w:r>
              <w:rPr>
                <w:sz w:val="19"/>
                <w:szCs w:val="19"/>
              </w:rPr>
              <w:t xml:space="preserve">Most authoritative source reviewed; formal regulatory document</w:t>
            </w:r>
          </w:p>
        </w:tc>
      </w:tr>
      <w:tr>
        <w:trPr>
          <w:cantSplit w:val="false"/>
        </w:trPr>
        <w:tc>
          <w:tcPr>
            <w:tcW w:type="dxa" w:w="2434"/>
            <w:shd w:fill="F2F2F2" w:color="auto" w:val="clear"/>
            <w:tcMar>
              <w:top w:type="dxa" w:w="90"/>
              <w:left w:type="dxa" w:w="120"/>
              <w:bottom w:type="dxa" w:w="90"/>
              <w:right w:type="dxa" w:w="120"/>
            </w:tcMar>
            <w:vAlign w:val="center"/>
          </w:tcPr>
          <w:p>
            <w:r>
              <w:rPr>
                <w:sz w:val="19"/>
                <w:szCs w:val="19"/>
              </w:rPr>
              <w:t xml:space="preserve">qTrack on-premise user manual</w:t>
            </w:r>
          </w:p>
        </w:tc>
        <w:tc>
          <w:tcPr>
            <w:tcW w:type="dxa" w:w="2995"/>
            <w:shd w:fill="F2F2F2" w:color="auto" w:val="clear"/>
            <w:tcMar>
              <w:top w:type="dxa" w:w="90"/>
              <w:left w:type="dxa" w:w="120"/>
              <w:bottom w:type="dxa" w:w="90"/>
              <w:right w:type="dxa" w:w="120"/>
            </w:tcMar>
            <w:vAlign w:val="center"/>
          </w:tcPr>
          <w:p>
            <w:r>
              <w:rPr>
                <w:sz w:val="19"/>
                <w:szCs w:val="19"/>
              </w:rPr>
              <w:t xml:space="preserve">No explicit revision date; feature set consistent with current product</w:t>
            </w:r>
          </w:p>
        </w:tc>
        <w:tc>
          <w:tcPr>
            <w:tcW w:type="dxa" w:w="3931"/>
            <w:shd w:fill="F2F2F2" w:color="auto" w:val="clear"/>
            <w:tcMar>
              <w:top w:type="dxa" w:w="90"/>
              <w:left w:type="dxa" w:w="120"/>
              <w:bottom w:type="dxa" w:w="90"/>
              <w:right w:type="dxa" w:w="120"/>
            </w:tcMar>
            <w:vAlign w:val="center"/>
          </w:tcPr>
          <w:p>
            <w:r>
              <w:rPr>
                <w:sz w:val="19"/>
                <w:szCs w:val="19"/>
              </w:rPr>
              <w:t xml:space="preserve">Reliable for UI/workflow; not an IT/infra reference</w:t>
            </w:r>
          </w:p>
        </w:tc>
      </w:tr>
      <w:tr>
        <w:trPr>
          <w:cantSplit w:val="false"/>
        </w:trPr>
        <w:tc>
          <w:tcPr>
            <w:tcW w:type="dxa" w:w="2434"/>
            <w:shd w:fill="FFFFFF" w:color="auto" w:val="clear"/>
            <w:tcMar>
              <w:top w:type="dxa" w:w="90"/>
              <w:left w:type="dxa" w:w="120"/>
              <w:bottom w:type="dxa" w:w="90"/>
              <w:right w:type="dxa" w:w="120"/>
            </w:tcMar>
            <w:vAlign w:val="center"/>
          </w:tcPr>
          <w:p>
            <w:r>
              <w:rPr>
                <w:sz w:val="19"/>
                <w:szCs w:val="19"/>
              </w:rPr>
              <w:t xml:space="preserve">Qure.ai App public docs (GitBook)</w:t>
            </w:r>
          </w:p>
        </w:tc>
        <w:tc>
          <w:tcPr>
            <w:tcW w:type="dxa" w:w="2995"/>
            <w:shd w:fill="FFFFFF" w:color="auto" w:val="clear"/>
            <w:tcMar>
              <w:top w:type="dxa" w:w="90"/>
              <w:left w:type="dxa" w:w="120"/>
              <w:bottom w:type="dxa" w:w="90"/>
              <w:right w:type="dxa" w:w="120"/>
            </w:tcMar>
            <w:vAlign w:val="center"/>
          </w:tcPr>
          <w:p>
            <w:r>
              <w:rPr>
                <w:sz w:val="19"/>
                <w:szCs w:val="19"/>
              </w:rPr>
              <w:t xml:space="preserve">Release notes stop at v3.1.6, 8 May 2023 — dating in that changelog is internally inconsistent</w:t>
            </w:r>
          </w:p>
        </w:tc>
        <w:tc>
          <w:tcPr>
            <w:tcW w:type="dxa" w:w="3931"/>
            <w:shd w:fill="FFFFFF" w:color="auto" w:val="clear"/>
            <w:tcMar>
              <w:top w:type="dxa" w:w="90"/>
              <w:left w:type="dxa" w:w="120"/>
              <w:bottom w:type="dxa" w:w="90"/>
              <w:right w:type="dxa" w:w="120"/>
            </w:tcMar>
            <w:vAlign w:val="center"/>
          </w:tcPr>
          <w:p>
            <w:r>
              <w:rPr>
                <w:sz w:val="19"/>
                <w:szCs w:val="19"/>
              </w:rPr>
              <w:t xml:space="preserve">Stale; treat cautiously</w:t>
            </w:r>
          </w:p>
        </w:tc>
      </w:tr>
      <w:tr>
        <w:trPr>
          <w:cantSplit w:val="false"/>
        </w:trPr>
        <w:tc>
          <w:tcPr>
            <w:tcW w:type="dxa" w:w="2434"/>
            <w:shd w:fill="F2F2F2" w:color="auto" w:val="clear"/>
            <w:tcMar>
              <w:top w:type="dxa" w:w="90"/>
              <w:left w:type="dxa" w:w="120"/>
              <w:bottom w:type="dxa" w:w="90"/>
              <w:right w:type="dxa" w:w="120"/>
            </w:tcMar>
            <w:vAlign w:val="center"/>
          </w:tcPr>
          <w:p>
            <w:r>
              <w:rPr>
                <w:sz w:val="19"/>
                <w:szCs w:val="19"/>
              </w:rPr>
              <w:t xml:space="preserve">Gateway/DCMIO public docs (GitBook)</w:t>
            </w:r>
          </w:p>
        </w:tc>
        <w:tc>
          <w:tcPr>
            <w:tcW w:type="dxa" w:w="2995"/>
            <w:shd w:fill="F2F2F2" w:color="auto" w:val="clear"/>
            <w:tcMar>
              <w:top w:type="dxa" w:w="90"/>
              <w:left w:type="dxa" w:w="120"/>
              <w:bottom w:type="dxa" w:w="90"/>
              <w:right w:type="dxa" w:w="120"/>
            </w:tcMar>
            <w:vAlign w:val="center"/>
          </w:tcPr>
          <w:p>
            <w:r>
              <w:rPr>
                <w:sz w:val="19"/>
                <w:szCs w:val="19"/>
              </w:rPr>
              <w:t xml:space="preserve">Release notes active through 17 Apr 2025; Configuration page itself “last updated 2 years ago”</w:t>
            </w:r>
          </w:p>
        </w:tc>
        <w:tc>
          <w:tcPr>
            <w:tcW w:type="dxa" w:w="3931"/>
            <w:shd w:fill="F2F2F2" w:color="auto" w:val="clear"/>
            <w:tcMar>
              <w:top w:type="dxa" w:w="90"/>
              <w:left w:type="dxa" w:w="120"/>
              <w:bottom w:type="dxa" w:w="90"/>
              <w:right w:type="dxa" w:w="120"/>
            </w:tcMar>
            <w:vAlign w:val="center"/>
          </w:tcPr>
          <w:p>
            <w:r>
              <w:rPr>
                <w:sz w:val="19"/>
                <w:szCs w:val="19"/>
              </w:rPr>
              <w:t xml:space="preserve">Actively maintained relative to the App docs, but still not current</w:t>
            </w:r>
          </w:p>
        </w:tc>
      </w:tr>
      <w:tr>
        <w:trPr>
          <w:cantSplit w:val="false"/>
        </w:trPr>
        <w:tc>
          <w:tcPr>
            <w:tcW w:type="dxa" w:w="2434"/>
            <w:shd w:fill="FFFFFF" w:color="auto" w:val="clear"/>
            <w:tcMar>
              <w:top w:type="dxa" w:w="90"/>
              <w:left w:type="dxa" w:w="120"/>
              <w:bottom w:type="dxa" w:w="90"/>
              <w:right w:type="dxa" w:w="120"/>
            </w:tcMar>
            <w:vAlign w:val="center"/>
          </w:tcPr>
          <w:p>
            <w:r>
              <w:rPr>
                <w:sz w:val="19"/>
                <w:szCs w:val="19"/>
              </w:rPr>
              <w:t xml:space="preserve">On-prem “Deployment Files” page (docker-compose.yml)</w:t>
            </w:r>
          </w:p>
        </w:tc>
        <w:tc>
          <w:tcPr>
            <w:tcW w:type="dxa" w:w="2995"/>
            <w:shd w:fill="FFFFFF" w:color="auto" w:val="clear"/>
            <w:tcMar>
              <w:top w:type="dxa" w:w="90"/>
              <w:left w:type="dxa" w:w="120"/>
              <w:bottom w:type="dxa" w:w="90"/>
              <w:right w:type="dxa" w:w="120"/>
            </w:tcMar>
            <w:vAlign w:val="center"/>
          </w:tcPr>
          <w:p>
            <w:r>
              <w:rPr>
                <w:sz w:val="19"/>
                <w:szCs w:val="19"/>
              </w:rPr>
              <w:t xml:space="preserve">“Last updated 3 years ago” (confirmed via live page)</w:t>
            </w:r>
          </w:p>
        </w:tc>
        <w:tc>
          <w:tcPr>
            <w:tcW w:type="dxa" w:w="3931"/>
            <w:shd w:fill="FFFFFF" w:color="auto" w:val="clear"/>
            <w:tcMar>
              <w:top w:type="dxa" w:w="90"/>
              <w:left w:type="dxa" w:w="120"/>
              <w:bottom w:type="dxa" w:w="90"/>
              <w:right w:type="dxa" w:w="120"/>
            </w:tcMar>
            <w:vAlign w:val="center"/>
          </w:tcPr>
          <w:p>
            <w:r>
              <w:rPr>
                <w:sz w:val="19"/>
                <w:szCs w:val="19"/>
              </w:rPr>
              <w:t xml:space="preserve">Stale; contains a non-functional shared credential — do not build from this</w:t>
            </w:r>
          </w:p>
        </w:tc>
      </w:tr>
      <w:tr>
        <w:trPr>
          <w:cantSplit w:val="false"/>
        </w:trPr>
        <w:tc>
          <w:tcPr>
            <w:tcW w:type="dxa" w:w="2434"/>
            <w:shd w:fill="F2F2F2" w:color="auto" w:val="clear"/>
            <w:tcMar>
              <w:top w:type="dxa" w:w="90"/>
              <w:left w:type="dxa" w:w="120"/>
              <w:bottom w:type="dxa" w:w="90"/>
              <w:right w:type="dxa" w:w="120"/>
            </w:tcMar>
            <w:vAlign w:val="center"/>
          </w:tcPr>
          <w:p>
            <w:r>
              <w:rPr>
                <w:sz w:val="19"/>
                <w:szCs w:val="19"/>
              </w:rPr>
              <w:t xml:space="preserve">Public DICOM Conformance Statement</w:t>
            </w:r>
          </w:p>
        </w:tc>
        <w:tc>
          <w:tcPr>
            <w:tcW w:type="dxa" w:w="2995"/>
            <w:shd w:fill="F2F2F2" w:color="auto" w:val="clear"/>
            <w:tcMar>
              <w:top w:type="dxa" w:w="90"/>
              <w:left w:type="dxa" w:w="120"/>
              <w:bottom w:type="dxa" w:w="90"/>
              <w:right w:type="dxa" w:w="120"/>
            </w:tcMar>
            <w:vAlign w:val="center"/>
          </w:tcPr>
          <w:p>
            <w:r>
              <w:rPr>
                <w:sz w:val="19"/>
                <w:szCs w:val="19"/>
              </w:rPr>
              <w:t xml:space="preserve">Not found</w:t>
            </w:r>
          </w:p>
        </w:tc>
        <w:tc>
          <w:tcPr>
            <w:tcW w:type="dxa" w:w="3931"/>
            <w:shd w:fill="F2F2F2" w:color="auto" w:val="clear"/>
            <w:tcMar>
              <w:top w:type="dxa" w:w="90"/>
              <w:left w:type="dxa" w:w="120"/>
              <w:bottom w:type="dxa" w:w="90"/>
              <w:right w:type="dxa" w:w="120"/>
            </w:tcMar>
            <w:vAlign w:val="center"/>
          </w:tcPr>
          <w:p>
            <w:r>
              <w:rPr>
                <w:sz w:val="19"/>
                <w:szCs w:val="19"/>
              </w:rPr>
              <w:t xml:space="preserve">Does not appear to be published; request directly from Qure</w:t>
            </w:r>
          </w:p>
        </w:tc>
      </w:tr>
      <w:tr>
        <w:trPr>
          <w:cantSplit w:val="false"/>
        </w:trPr>
        <w:tc>
          <w:tcPr>
            <w:tcW w:type="dxa" w:w="2434"/>
            <w:shd w:fill="FFFFFF" w:color="auto" w:val="clear"/>
            <w:tcMar>
              <w:top w:type="dxa" w:w="90"/>
              <w:left w:type="dxa" w:w="120"/>
              <w:bottom w:type="dxa" w:w="90"/>
              <w:right w:type="dxa" w:w="120"/>
            </w:tcMar>
            <w:vAlign w:val="center"/>
          </w:tcPr>
          <w:p>
            <w:r>
              <w:rPr>
                <w:sz w:val="19"/>
                <w:szCs w:val="19"/>
              </w:rPr>
              <w:t xml:space="preserve">qure.ai/compliance-info/ (Label/eIFU/UDI portal referenced in the IFU)</w:t>
            </w:r>
          </w:p>
        </w:tc>
        <w:tc>
          <w:tcPr>
            <w:tcW w:type="dxa" w:w="2995"/>
            <w:shd w:fill="FFFFFF" w:color="auto" w:val="clear"/>
            <w:tcMar>
              <w:top w:type="dxa" w:w="90"/>
              <w:left w:type="dxa" w:w="120"/>
              <w:bottom w:type="dxa" w:w="90"/>
              <w:right w:type="dxa" w:w="120"/>
            </w:tcMar>
            <w:vAlign w:val="center"/>
          </w:tcPr>
          <w:p>
            <w:r>
              <w:rPr>
                <w:sz w:val="19"/>
                <w:szCs w:val="19"/>
              </w:rPr>
              <w:t xml:space="preserve">Found password-protected</w:t>
            </w:r>
          </w:p>
        </w:tc>
        <w:tc>
          <w:tcPr>
            <w:tcW w:type="dxa" w:w="3931"/>
            <w:shd w:fill="FFFFFF" w:color="auto" w:val="clear"/>
            <w:tcMar>
              <w:top w:type="dxa" w:w="90"/>
              <w:left w:type="dxa" w:w="120"/>
              <w:bottom w:type="dxa" w:w="90"/>
              <w:right w:type="dxa" w:w="120"/>
            </w:tcMar>
            <w:vAlign w:val="center"/>
          </w:tcPr>
          <w:p>
            <w:r>
              <w:rPr>
                <w:sz w:val="19"/>
                <w:szCs w:val="19"/>
              </w:rPr>
              <w:t xml:space="preserve">Not currently accessible; may require Qure to grant access</w:t>
            </w:r>
          </w:p>
        </w:tc>
      </w:tr>
    </w:tbl>
    <w:p>
      <w:pPr>
        <w:pageBreakBefore/>
      </w:pPr>
    </w:p>
    <w:p>
      <w:pPr>
        <w:pStyle w:val="Heading1"/>
        <w:pBdr>
          <w:bottom w:val="single" w:color="1F3864" w:sz="6" w:space="4"/>
        </w:pBdr>
        <w:spacing w:after="160" w:before="360"/>
      </w:pPr>
      <w:r>
        <w:rPr>
          <w:b/>
          <w:bCs/>
          <w:color w:val="1F3864"/>
        </w:rPr>
        <w:t xml:space="preserve">Appendix A — Open Questions for Qure Technical Contact</w:t>
      </w:r>
    </w:p>
    <w:p>
      <w:pPr>
        <w:spacing w:after="160" w:line="276"/>
      </w:pPr>
      <w:r>
        <w:t xml:space="preserve">Ordered roughly by how much it blocks near-term lab work.</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562"/>
        <w:gridCol w:w="5429"/>
        <w:gridCol w:w="3370"/>
      </w:tblGrid>
      <w:tr>
        <w:trPr>
          <w:tblHeader/>
        </w:trPr>
        <w:tc>
          <w:tcPr>
            <w:tcW w:type="dxa" w:w="562"/>
            <w:shd w:fill="1F3864" w:color="auto" w:val="clear"/>
            <w:tcMar>
              <w:top w:type="dxa" w:w="100"/>
              <w:left w:type="dxa" w:w="120"/>
              <w:bottom w:type="dxa" w:w="100"/>
              <w:right w:type="dxa" w:w="120"/>
            </w:tcMar>
            <w:vAlign w:val="center"/>
          </w:tcPr>
          <w:p>
            <w:r>
              <w:rPr>
                <w:b/>
                <w:bCs/>
                <w:color w:val="FFFFFF"/>
                <w:sz w:val="19"/>
                <w:szCs w:val="19"/>
              </w:rPr>
              <w:t xml:space="preserve">#</w:t>
            </w:r>
          </w:p>
        </w:tc>
        <w:tc>
          <w:tcPr>
            <w:tcW w:type="dxa" w:w="5429"/>
            <w:shd w:fill="1F3864" w:color="auto" w:val="clear"/>
            <w:tcMar>
              <w:top w:type="dxa" w:w="100"/>
              <w:left w:type="dxa" w:w="120"/>
              <w:bottom w:type="dxa" w:w="100"/>
              <w:right w:type="dxa" w:w="120"/>
            </w:tcMar>
            <w:vAlign w:val="center"/>
          </w:tcPr>
          <w:p>
            <w:r>
              <w:rPr>
                <w:b/>
                <w:bCs/>
                <w:color w:val="FFFFFF"/>
                <w:sz w:val="19"/>
                <w:szCs w:val="19"/>
              </w:rPr>
              <w:t xml:space="preserve">Question</w:t>
            </w:r>
          </w:p>
        </w:tc>
        <w:tc>
          <w:tcPr>
            <w:tcW w:type="dxa" w:w="3370"/>
            <w:shd w:fill="1F3864" w:color="auto" w:val="clear"/>
            <w:tcMar>
              <w:top w:type="dxa" w:w="100"/>
              <w:left w:type="dxa" w:w="120"/>
              <w:bottom w:type="dxa" w:w="100"/>
              <w:right w:type="dxa" w:w="120"/>
            </w:tcMar>
            <w:vAlign w:val="center"/>
          </w:tcPr>
          <w:p>
            <w:r>
              <w:rPr>
                <w:b/>
                <w:bCs/>
                <w:color w:val="FFFFFF"/>
                <w:sz w:val="19"/>
                <w:szCs w:val="19"/>
              </w:rPr>
              <w:t xml:space="preserve">Why it matters</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1</w:t>
            </w:r>
          </w:p>
        </w:tc>
        <w:tc>
          <w:tcPr>
            <w:tcW w:type="dxa" w:w="5429"/>
            <w:shd w:fill="FFFFFF" w:color="auto" w:val="clear"/>
            <w:tcMar>
              <w:top w:type="dxa" w:w="90"/>
              <w:left w:type="dxa" w:w="120"/>
              <w:bottom w:type="dxa" w:w="90"/>
              <w:right w:type="dxa" w:w="120"/>
            </w:tcMar>
            <w:vAlign w:val="center"/>
          </w:tcPr>
          <w:p>
            <w:r>
              <w:rPr>
                <w:sz w:val="19"/>
                <w:szCs w:val="19"/>
              </w:rPr>
              <w:t xml:space="preserve">What is the current, correct on-premise Gateway installation method — the download-URL/installer path described in the Sept 2024 IFU, or the docker-compose.yml route from the public docs? Please provide current package + credentials.</w:t>
            </w:r>
          </w:p>
        </w:tc>
        <w:tc>
          <w:tcPr>
            <w:tcW w:type="dxa" w:w="3370"/>
            <w:shd w:fill="FFFFFF" w:color="auto" w:val="clear"/>
            <w:tcMar>
              <w:top w:type="dxa" w:w="90"/>
              <w:left w:type="dxa" w:w="120"/>
              <w:bottom w:type="dxa" w:w="90"/>
              <w:right w:type="dxa" w:w="120"/>
            </w:tcMar>
            <w:vAlign w:val="center"/>
          </w:tcPr>
          <w:p>
            <w:r>
              <w:rPr>
                <w:sz w:val="19"/>
                <w:szCs w:val="19"/>
              </w:rPr>
              <w:t xml:space="preserve">The only credential we have (from public docs) authenticates but has no working repo access; we cannot build the on-prem stack without a current path.</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2</w:t>
            </w:r>
          </w:p>
        </w:tc>
        <w:tc>
          <w:tcPr>
            <w:tcW w:type="dxa" w:w="5429"/>
            <w:shd w:fill="F2F2F2" w:color="auto" w:val="clear"/>
            <w:tcMar>
              <w:top w:type="dxa" w:w="90"/>
              <w:left w:type="dxa" w:w="120"/>
              <w:bottom w:type="dxa" w:w="90"/>
              <w:right w:type="dxa" w:w="120"/>
            </w:tcMar>
            <w:vAlign w:val="center"/>
          </w:tcPr>
          <w:p>
            <w:r>
              <w:rPr>
                <w:sz w:val="19"/>
                <w:szCs w:val="19"/>
              </w:rPr>
              <w:t xml:space="preserve">What AE Title, IP, and DICOM port does Gateway/DCMIO actually listen on for a new install — 5252 or 4242 (or something else)?</w:t>
            </w:r>
          </w:p>
        </w:tc>
        <w:tc>
          <w:tcPr>
            <w:tcW w:type="dxa" w:w="3370"/>
            <w:shd w:fill="F2F2F2" w:color="auto" w:val="clear"/>
            <w:tcMar>
              <w:top w:type="dxa" w:w="90"/>
              <w:left w:type="dxa" w:w="120"/>
              <w:bottom w:type="dxa" w:w="90"/>
              <w:right w:type="dxa" w:w="120"/>
            </w:tcMar>
            <w:vAlign w:val="center"/>
          </w:tcPr>
          <w:p>
            <w:r>
              <w:rPr>
                <w:sz w:val="19"/>
                <w:szCs w:val="19"/>
              </w:rPr>
              <w:t xml:space="preserve">Two Qure-authored sources disagree; firewall/modality configuration depends on getting this right the first time.</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3</w:t>
            </w:r>
          </w:p>
        </w:tc>
        <w:tc>
          <w:tcPr>
            <w:tcW w:type="dxa" w:w="5429"/>
            <w:shd w:fill="FFFFFF" w:color="auto" w:val="clear"/>
            <w:tcMar>
              <w:top w:type="dxa" w:w="90"/>
              <w:left w:type="dxa" w:w="120"/>
              <w:bottom w:type="dxa" w:w="90"/>
              <w:right w:type="dxa" w:w="120"/>
            </w:tcMar>
            <w:vAlign w:val="center"/>
          </w:tcPr>
          <w:p>
            <w:r>
              <w:rPr>
                <w:sz w:val="19"/>
                <w:szCs w:val="19"/>
              </w:rPr>
              <w:t xml:space="preserve">Is DICOM Structured Report (SR) a currently supported, reliable qXR output? The current IFU's “Device Output” section only lists Secondary Capture and/or GSPS plus PDF — it does not mention SR, even though the developer API and qER's spec do.</w:t>
            </w:r>
          </w:p>
        </w:tc>
        <w:tc>
          <w:tcPr>
            <w:tcW w:type="dxa" w:w="3370"/>
            <w:shd w:fill="FFFFFF" w:color="auto" w:val="clear"/>
            <w:tcMar>
              <w:top w:type="dxa" w:w="90"/>
              <w:left w:type="dxa" w:w="120"/>
              <w:bottom w:type="dxa" w:w="90"/>
              <w:right w:type="dxa" w:w="120"/>
            </w:tcMar>
            <w:vAlign w:val="center"/>
          </w:tcPr>
          <w:p>
            <w:r>
              <w:rPr>
                <w:sz w:val="19"/>
                <w:szCs w:val="19"/>
              </w:rPr>
              <w:t xml:space="preserve">Determines whether we can rely on SR in our PACS integration or should plan around SC/GSPS/PDF only.</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4</w:t>
            </w:r>
          </w:p>
        </w:tc>
        <w:tc>
          <w:tcPr>
            <w:tcW w:type="dxa" w:w="5429"/>
            <w:shd w:fill="F2F2F2" w:color="auto" w:val="clear"/>
            <w:tcMar>
              <w:top w:type="dxa" w:w="90"/>
              <w:left w:type="dxa" w:w="120"/>
              <w:bottom w:type="dxa" w:w="90"/>
              <w:right w:type="dxa" w:w="120"/>
            </w:tcMar>
            <w:vAlign w:val="center"/>
          </w:tcPr>
          <w:p>
            <w:r>
              <w:rPr>
                <w:sz w:val="19"/>
                <w:szCs w:val="19"/>
              </w:rPr>
              <w:t xml:space="preserve">If SR is supported, which specific SOP Class is emitted — Chest CAD SR Storage (1.2.840.10008.5.1.4.1.1.88.65) or Comprehensive SR Storage (1.2.840.10008.5.1.4.1.1.88.33)?</w:t>
            </w:r>
          </w:p>
        </w:tc>
        <w:tc>
          <w:tcPr>
            <w:tcW w:type="dxa" w:w="3370"/>
            <w:shd w:fill="F2F2F2" w:color="auto" w:val="clear"/>
            <w:tcMar>
              <w:top w:type="dxa" w:w="90"/>
              <w:left w:type="dxa" w:w="120"/>
              <w:bottom w:type="dxa" w:w="90"/>
              <w:right w:type="dxa" w:w="120"/>
            </w:tcMar>
            <w:vAlign w:val="center"/>
          </w:tcPr>
          <w:p>
            <w:r>
              <w:rPr>
                <w:sz w:val="19"/>
                <w:szCs w:val="19"/>
              </w:rPr>
              <w:t xml:space="preserve">Our PACS's accepted-SOP-class list must match exactly or the object may be silently rejected.</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5</w:t>
            </w:r>
          </w:p>
        </w:tc>
        <w:tc>
          <w:tcPr>
            <w:tcW w:type="dxa" w:w="5429"/>
            <w:shd w:fill="FFFFFF" w:color="auto" w:val="clear"/>
            <w:tcMar>
              <w:top w:type="dxa" w:w="90"/>
              <w:left w:type="dxa" w:w="120"/>
              <w:bottom w:type="dxa" w:w="90"/>
              <w:right w:type="dxa" w:w="120"/>
            </w:tcMar>
            <w:vAlign w:val="center"/>
          </w:tcPr>
          <w:p>
            <w:r>
              <w:rPr>
                <w:sz w:val="19"/>
                <w:szCs w:val="19"/>
              </w:rPr>
              <w:t xml:space="preserve">Which Secondary Capture variant does qXR send — base Secondary Capture Image Storage, or one of the Multi-frame Grayscale (byte/word) variants?</w:t>
            </w:r>
          </w:p>
        </w:tc>
        <w:tc>
          <w:tcPr>
            <w:tcW w:type="dxa" w:w="3370"/>
            <w:shd w:fill="FFFFFF" w:color="auto" w:val="clear"/>
            <w:tcMar>
              <w:top w:type="dxa" w:w="90"/>
              <w:left w:type="dxa" w:w="120"/>
              <w:bottom w:type="dxa" w:w="90"/>
              <w:right w:type="dxa" w:w="120"/>
            </w:tcMar>
            <w:vAlign w:val="center"/>
          </w:tcPr>
          <w:p>
            <w:r>
              <w:rPr>
                <w:sz w:val="19"/>
                <w:szCs w:val="19"/>
              </w:rPr>
              <w:t xml:space="preserve">Affects diagnostic-grade pixel fidelity and PACS SOP-class configuration.</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6</w:t>
            </w:r>
          </w:p>
        </w:tc>
        <w:tc>
          <w:tcPr>
            <w:tcW w:type="dxa" w:w="5429"/>
            <w:shd w:fill="F2F2F2" w:color="auto" w:val="clear"/>
            <w:tcMar>
              <w:top w:type="dxa" w:w="90"/>
              <w:left w:type="dxa" w:w="120"/>
              <w:bottom w:type="dxa" w:w="90"/>
              <w:right w:type="dxa" w:w="120"/>
            </w:tcMar>
            <w:vAlign w:val="center"/>
          </w:tcPr>
          <w:p>
            <w:r>
              <w:rPr>
                <w:sz w:val="19"/>
                <w:szCs w:val="19"/>
              </w:rPr>
              <w:t xml:space="preserve">Why isn't GSPS a selectable option in the Gateway's DICOM publisher “Keys To Send” field, given it's one of only two documented DICOM output types?</w:t>
            </w:r>
          </w:p>
        </w:tc>
        <w:tc>
          <w:tcPr>
            <w:tcW w:type="dxa" w:w="3370"/>
            <w:shd w:fill="F2F2F2" w:color="auto" w:val="clear"/>
            <w:tcMar>
              <w:top w:type="dxa" w:w="90"/>
              <w:left w:type="dxa" w:w="120"/>
              <w:bottom w:type="dxa" w:w="90"/>
              <w:right w:type="dxa" w:w="120"/>
            </w:tcMar>
            <w:vAlign w:val="center"/>
          </w:tcPr>
          <w:p>
            <w:r>
              <w:rPr>
                <w:sz w:val="19"/>
                <w:szCs w:val="19"/>
              </w:rPr>
              <w:t xml:space="preserve">Possible documentation gap or a real functional limitation — affects whether we can rely on GSPS in production.</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7</w:t>
            </w:r>
          </w:p>
        </w:tc>
        <w:tc>
          <w:tcPr>
            <w:tcW w:type="dxa" w:w="5429"/>
            <w:shd w:fill="FFFFFF" w:color="auto" w:val="clear"/>
            <w:tcMar>
              <w:top w:type="dxa" w:w="90"/>
              <w:left w:type="dxa" w:w="120"/>
              <w:bottom w:type="dxa" w:w="90"/>
              <w:right w:type="dxa" w:w="120"/>
            </w:tcMar>
            <w:vAlign w:val="center"/>
          </w:tcPr>
          <w:p>
            <w:r>
              <w:rPr>
                <w:sz w:val="19"/>
                <w:szCs w:val="19"/>
              </w:rPr>
              <w:t xml:space="preserve">Does MinXView emit DX images as “For Presentation,” “For Processing,” or both — and does qXR have a validated preference between the two?</w:t>
            </w:r>
          </w:p>
        </w:tc>
        <w:tc>
          <w:tcPr>
            <w:tcW w:type="dxa" w:w="3370"/>
            <w:shd w:fill="FFFFFF" w:color="auto" w:val="clear"/>
            <w:tcMar>
              <w:top w:type="dxa" w:w="90"/>
              <w:left w:type="dxa" w:w="120"/>
              <w:bottom w:type="dxa" w:w="90"/>
              <w:right w:type="dxa" w:w="120"/>
            </w:tcMar>
            <w:vAlign w:val="center"/>
          </w:tcPr>
          <w:p>
            <w:r>
              <w:rPr>
                <w:sz w:val="19"/>
                <w:szCs w:val="19"/>
              </w:rPr>
              <w:t xml:space="preserve">Vendor display processing on “For Presentation” images can shift pixel statistics an AI model wasn't trained on.</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8</w:t>
            </w:r>
          </w:p>
        </w:tc>
        <w:tc>
          <w:tcPr>
            <w:tcW w:type="dxa" w:w="5429"/>
            <w:shd w:fill="F2F2F2" w:color="auto" w:val="clear"/>
            <w:tcMar>
              <w:top w:type="dxa" w:w="90"/>
              <w:left w:type="dxa" w:w="120"/>
              <w:bottom w:type="dxa" w:w="90"/>
              <w:right w:type="dxa" w:w="120"/>
            </w:tcMar>
            <w:vAlign w:val="center"/>
          </w:tcPr>
          <w:p>
            <w:r>
              <w:rPr>
                <w:sz w:val="19"/>
                <w:szCs w:val="19"/>
              </w:rPr>
              <w:t xml:space="preserve">What GPU (make/model/VRAM) actually ships in the specific Qure-configured MinXray laptop we are acquiring, and does it meet or exceed the IFU's stated minimum (GTX 1070 Ti / 8 GB)?</w:t>
            </w:r>
          </w:p>
        </w:tc>
        <w:tc>
          <w:tcPr>
            <w:tcW w:type="dxa" w:w="3370"/>
            <w:shd w:fill="F2F2F2" w:color="auto" w:val="clear"/>
            <w:tcMar>
              <w:top w:type="dxa" w:w="90"/>
              <w:left w:type="dxa" w:w="120"/>
              <w:bottom w:type="dxa" w:w="90"/>
              <w:right w:type="dxa" w:w="120"/>
            </w:tcMar>
            <w:vAlign w:val="center"/>
          </w:tcPr>
          <w:p>
            <w:r>
              <w:rPr>
                <w:sz w:val="19"/>
                <w:szCs w:val="19"/>
              </w:rPr>
              <w:t xml:space="preserve">The qTrack manual confirms local, offline AI processing is real — the laptop needs genuine GPU hardware to do this, and we don't yet know what's actually inside it.</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9</w:t>
            </w:r>
          </w:p>
        </w:tc>
        <w:tc>
          <w:tcPr>
            <w:tcW w:type="dxa" w:w="5429"/>
            <w:shd w:fill="FFFFFF" w:color="auto" w:val="clear"/>
            <w:tcMar>
              <w:top w:type="dxa" w:w="90"/>
              <w:left w:type="dxa" w:w="120"/>
              <w:bottom w:type="dxa" w:w="90"/>
              <w:right w:type="dxa" w:w="120"/>
            </w:tcMar>
            <w:vAlign w:val="center"/>
          </w:tcPr>
          <w:p>
            <w:r>
              <w:rPr>
                <w:sz w:val="19"/>
                <w:szCs w:val="19"/>
              </w:rPr>
              <w:t xml:space="preserve">Is the laptop-class GPU spec (GTX 1080 Ti / 1070 Ti) in the current IFU the same on-prem product as the heavier multi-service docker-compose deployment found in the public docs, or are these two distinct on-prem tiers? What is currently recommended for a dedicated lab server build (beyond the laptop tier)?</w:t>
            </w:r>
          </w:p>
        </w:tc>
        <w:tc>
          <w:tcPr>
            <w:tcW w:type="dxa" w:w="3370"/>
            <w:shd w:fill="FFFFFF" w:color="auto" w:val="clear"/>
            <w:tcMar>
              <w:top w:type="dxa" w:w="90"/>
              <w:left w:type="dxa" w:w="120"/>
              <w:bottom w:type="dxa" w:w="90"/>
              <w:right w:type="dxa" w:w="120"/>
            </w:tcMar>
            <w:vAlign w:val="center"/>
          </w:tcPr>
          <w:p>
            <w:r>
              <w:rPr>
                <w:sz w:val="19"/>
                <w:szCs w:val="19"/>
              </w:rPr>
              <w:t xml:space="preserve">Determines what hardware to actually provision for the integration lab server, separate from the acquired laptop.</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10</w:t>
            </w:r>
          </w:p>
        </w:tc>
        <w:tc>
          <w:tcPr>
            <w:tcW w:type="dxa" w:w="5429"/>
            <w:shd w:fill="F2F2F2" w:color="auto" w:val="clear"/>
            <w:tcMar>
              <w:top w:type="dxa" w:w="90"/>
              <w:left w:type="dxa" w:w="120"/>
              <w:bottom w:type="dxa" w:w="90"/>
              <w:right w:type="dxa" w:w="120"/>
            </w:tcMar>
            <w:vAlign w:val="center"/>
          </w:tcPr>
          <w:p>
            <w:r>
              <w:rPr>
                <w:sz w:val="19"/>
                <w:szCs w:val="19"/>
              </w:rPr>
              <w:t xml:space="preserve">Does qTrack version and release independently of the “Qure.ai App,” or do they share a release train?</w:t>
            </w:r>
          </w:p>
        </w:tc>
        <w:tc>
          <w:tcPr>
            <w:tcW w:type="dxa" w:w="3370"/>
            <w:shd w:fill="F2F2F2" w:color="auto" w:val="clear"/>
            <w:tcMar>
              <w:top w:type="dxa" w:w="90"/>
              <w:left w:type="dxa" w:w="120"/>
              <w:bottom w:type="dxa" w:w="90"/>
              <w:right w:type="dxa" w:w="120"/>
            </w:tcMar>
            <w:vAlign w:val="center"/>
          </w:tcPr>
          <w:p>
            <w:r>
              <w:rPr>
                <w:sz w:val="19"/>
                <w:szCs w:val="19"/>
              </w:rPr>
              <w:t xml:space="preserve">Determines whether the App's public release notes are a valid changelog proxy for qTrack.</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11</w:t>
            </w:r>
          </w:p>
        </w:tc>
        <w:tc>
          <w:tcPr>
            <w:tcW w:type="dxa" w:w="5429"/>
            <w:shd w:fill="FFFFFF" w:color="auto" w:val="clear"/>
            <w:tcMar>
              <w:top w:type="dxa" w:w="90"/>
              <w:left w:type="dxa" w:w="120"/>
              <w:bottom w:type="dxa" w:w="90"/>
              <w:right w:type="dxa" w:w="120"/>
            </w:tcMar>
            <w:vAlign w:val="center"/>
          </w:tcPr>
          <w:p>
            <w:r>
              <w:rPr>
                <w:sz w:val="19"/>
                <w:szCs w:val="19"/>
              </w:rPr>
              <w:t xml:space="preserve">Is patient/clinical-data sync to the qTrack cloud workspace handled by a mechanism separate from Gateway/DCMIO (e.g., a proprietary REST interface built into the qTrack app), or does it route through Gateway in some way not documented publicly?</w:t>
            </w:r>
          </w:p>
        </w:tc>
        <w:tc>
          <w:tcPr>
            <w:tcW w:type="dxa" w:w="3370"/>
            <w:shd w:fill="FFFFFF" w:color="auto" w:val="clear"/>
            <w:tcMar>
              <w:top w:type="dxa" w:w="90"/>
              <w:left w:type="dxa" w:w="120"/>
              <w:bottom w:type="dxa" w:w="90"/>
              <w:right w:type="dxa" w:w="120"/>
            </w:tcMar>
            <w:vAlign w:val="center"/>
          </w:tcPr>
          <w:p>
            <w:r>
              <w:rPr>
                <w:sz w:val="19"/>
                <w:szCs w:val="19"/>
              </w:rPr>
              <w:t xml:space="preserve">Affects our understanding of what data leaves the laptop, by what path, and under what security model.</w:t>
            </w:r>
          </w:p>
        </w:tc>
      </w:tr>
      <w:tr>
        <w:trPr>
          <w:cantSplit w:val="false"/>
        </w:trPr>
        <w:tc>
          <w:tcPr>
            <w:tcW w:type="dxa" w:w="562"/>
            <w:shd w:fill="F2F2F2" w:color="auto" w:val="clear"/>
            <w:tcMar>
              <w:top w:type="dxa" w:w="90"/>
              <w:left w:type="dxa" w:w="120"/>
              <w:bottom w:type="dxa" w:w="90"/>
              <w:right w:type="dxa" w:w="120"/>
            </w:tcMar>
            <w:vAlign w:val="center"/>
          </w:tcPr>
          <w:p>
            <w:r>
              <w:rPr>
                <w:sz w:val="19"/>
                <w:szCs w:val="19"/>
              </w:rPr>
              <w:t xml:space="preserve">12</w:t>
            </w:r>
          </w:p>
        </w:tc>
        <w:tc>
          <w:tcPr>
            <w:tcW w:type="dxa" w:w="5429"/>
            <w:shd w:fill="F2F2F2" w:color="auto" w:val="clear"/>
            <w:tcMar>
              <w:top w:type="dxa" w:w="90"/>
              <w:left w:type="dxa" w:w="120"/>
              <w:bottom w:type="dxa" w:w="90"/>
              <w:right w:type="dxa" w:w="120"/>
            </w:tcMar>
            <w:vAlign w:val="center"/>
          </w:tcPr>
          <w:p>
            <w:r>
              <w:rPr>
                <w:sz w:val="19"/>
                <w:szCs w:val="19"/>
              </w:rPr>
              <w:t xml:space="preserve">Can Qure provide a formal DICOM Conformance Statement (supported SOP classes, transfer syntaxes, SCU/SCP roles, private tags)?</w:t>
            </w:r>
          </w:p>
        </w:tc>
        <w:tc>
          <w:tcPr>
            <w:tcW w:type="dxa" w:w="3370"/>
            <w:shd w:fill="F2F2F2" w:color="auto" w:val="clear"/>
            <w:tcMar>
              <w:top w:type="dxa" w:w="90"/>
              <w:left w:type="dxa" w:w="120"/>
              <w:bottom w:type="dxa" w:w="90"/>
              <w:right w:type="dxa" w:w="120"/>
            </w:tcMar>
            <w:vAlign w:val="center"/>
          </w:tcPr>
          <w:p>
            <w:r>
              <w:rPr>
                <w:sz w:val="19"/>
                <w:szCs w:val="19"/>
              </w:rPr>
              <w:t xml:space="preserve">Standard requirement for PACS integration planning; none is published publicly despite FDA/CE-cleared status.</w:t>
            </w:r>
          </w:p>
        </w:tc>
      </w:tr>
      <w:tr>
        <w:trPr>
          <w:cantSplit w:val="false"/>
        </w:trPr>
        <w:tc>
          <w:tcPr>
            <w:tcW w:type="dxa" w:w="562"/>
            <w:shd w:fill="FFFFFF" w:color="auto" w:val="clear"/>
            <w:tcMar>
              <w:top w:type="dxa" w:w="90"/>
              <w:left w:type="dxa" w:w="120"/>
              <w:bottom w:type="dxa" w:w="90"/>
              <w:right w:type="dxa" w:w="120"/>
            </w:tcMar>
            <w:vAlign w:val="center"/>
          </w:tcPr>
          <w:p>
            <w:r>
              <w:rPr>
                <w:sz w:val="19"/>
                <w:szCs w:val="19"/>
              </w:rPr>
              <w:t xml:space="preserve">13</w:t>
            </w:r>
          </w:p>
        </w:tc>
        <w:tc>
          <w:tcPr>
            <w:tcW w:type="dxa" w:w="5429"/>
            <w:shd w:fill="FFFFFF" w:color="auto" w:val="clear"/>
            <w:tcMar>
              <w:top w:type="dxa" w:w="90"/>
              <w:left w:type="dxa" w:w="120"/>
              <w:bottom w:type="dxa" w:w="90"/>
              <w:right w:type="dxa" w:w="120"/>
            </w:tcMar>
            <w:vAlign w:val="center"/>
          </w:tcPr>
          <w:p>
            <w:r>
              <w:rPr>
                <w:sz w:val="19"/>
                <w:szCs w:val="19"/>
              </w:rPr>
              <w:t xml:space="preserve">Is Docker 20.10.14 (stated in the IFU) still the current supported/tested Docker version for on-premise Gateway, or has that guidance moved on?</w:t>
            </w:r>
          </w:p>
        </w:tc>
        <w:tc>
          <w:tcPr>
            <w:tcW w:type="dxa" w:w="3370"/>
            <w:shd w:fill="FFFFFF" w:color="auto" w:val="clear"/>
            <w:tcMar>
              <w:top w:type="dxa" w:w="90"/>
              <w:left w:type="dxa" w:w="120"/>
              <w:bottom w:type="dxa" w:w="90"/>
              <w:right w:type="dxa" w:w="120"/>
            </w:tcMar>
            <w:vAlign w:val="center"/>
          </w:tcPr>
          <w:p>
            <w:r>
              <w:rPr>
                <w:sz w:val="19"/>
                <w:szCs w:val="19"/>
              </w:rPr>
              <w:t xml:space="preserve">Avoids provisioning against outdated version guidance.</w:t>
            </w:r>
          </w:p>
        </w:tc>
      </w:tr>
    </w:tbl>
    <w:p>
      <w:pPr>
        <w:pageBreakBefore/>
      </w:pPr>
    </w:p>
    <w:p>
      <w:pPr>
        <w:pStyle w:val="Heading1"/>
        <w:pBdr>
          <w:bottom w:val="single" w:color="1F3864" w:sz="6" w:space="4"/>
        </w:pBdr>
        <w:spacing w:after="160" w:before="360"/>
      </w:pPr>
      <w:r>
        <w:rPr>
          <w:b/>
          <w:bCs/>
          <w:color w:val="1F3864"/>
        </w:rPr>
        <w:t xml:space="preserve">Appendix B — Source Log</w:t>
      </w:r>
    </w:p>
    <w:tbl>
      <w:tblPr>
        <w:tblW w:type="dxa" w:w="9360"/>
        <w:tblBorders>
          <w:top w:val="single" w:color="AAAAAA" w:sz="4"/>
          <w:left w:val="single" w:color="AAAAAA" w:sz="4"/>
          <w:bottom w:val="single" w:color="AAAAAA" w:sz="4"/>
          <w:right w:val="single" w:color="AAAAAA" w:sz="4"/>
          <w:insideH w:val="single" w:color="CCCCCC" w:sz="4"/>
          <w:insideV w:val="single" w:color="CCCCCC" w:sz="4"/>
        </w:tblBorders>
      </w:tblPr>
      <w:tblGrid>
        <w:gridCol w:w="3744"/>
        <w:gridCol w:w="2808"/>
        <w:gridCol w:w="2808"/>
      </w:tblGrid>
      <w:tr>
        <w:trPr>
          <w:tblHeader/>
        </w:trPr>
        <w:tc>
          <w:tcPr>
            <w:tcW w:type="dxa" w:w="3744"/>
            <w:shd w:fill="1F3864" w:color="auto" w:val="clear"/>
            <w:tcMar>
              <w:top w:type="dxa" w:w="100"/>
              <w:left w:type="dxa" w:w="120"/>
              <w:bottom w:type="dxa" w:w="100"/>
              <w:right w:type="dxa" w:w="120"/>
            </w:tcMar>
            <w:vAlign w:val="center"/>
          </w:tcPr>
          <w:p>
            <w:r>
              <w:rPr>
                <w:b/>
                <w:bCs/>
                <w:color w:val="FFFFFF"/>
                <w:sz w:val="19"/>
                <w:szCs w:val="19"/>
              </w:rPr>
              <w:t xml:space="preserve">Source</w:t>
            </w:r>
          </w:p>
        </w:tc>
        <w:tc>
          <w:tcPr>
            <w:tcW w:type="dxa" w:w="2808"/>
            <w:shd w:fill="1F3864" w:color="auto" w:val="clear"/>
            <w:tcMar>
              <w:top w:type="dxa" w:w="100"/>
              <w:left w:type="dxa" w:w="120"/>
              <w:bottom w:type="dxa" w:w="100"/>
              <w:right w:type="dxa" w:w="120"/>
            </w:tcMar>
            <w:vAlign w:val="center"/>
          </w:tcPr>
          <w:p>
            <w:r>
              <w:rPr>
                <w:b/>
                <w:bCs/>
                <w:color w:val="FFFFFF"/>
                <w:sz w:val="19"/>
                <w:szCs w:val="19"/>
              </w:rPr>
              <w:t xml:space="preserve">Type</w:t>
            </w:r>
          </w:p>
        </w:tc>
        <w:tc>
          <w:tcPr>
            <w:tcW w:type="dxa" w:w="2808"/>
            <w:shd w:fill="1F3864" w:color="auto" w:val="clear"/>
            <w:tcMar>
              <w:top w:type="dxa" w:w="100"/>
              <w:left w:type="dxa" w:w="120"/>
              <w:bottom w:type="dxa" w:w="100"/>
              <w:right w:type="dxa" w:w="120"/>
            </w:tcMar>
            <w:vAlign w:val="center"/>
          </w:tcPr>
          <w:p>
            <w:r>
              <w:rPr>
                <w:b/>
                <w:bCs/>
                <w:color w:val="FFFFFF"/>
                <w:sz w:val="19"/>
                <w:szCs w:val="19"/>
              </w:rPr>
              <w:t xml:space="preserve">Date / version noted</w:t>
            </w:r>
          </w:p>
        </w:tc>
      </w:tr>
      <w:tr>
        <w:trPr>
          <w:cantSplit w:val="false"/>
        </w:trPr>
        <w:tc>
          <w:tcPr>
            <w:tcW w:type="dxa" w:w="3744"/>
            <w:shd w:fill="FFFFFF" w:color="auto" w:val="clear"/>
            <w:tcMar>
              <w:top w:type="dxa" w:w="90"/>
              <w:left w:type="dxa" w:w="120"/>
              <w:bottom w:type="dxa" w:w="90"/>
              <w:right w:type="dxa" w:w="120"/>
            </w:tcMar>
            <w:vAlign w:val="center"/>
          </w:tcPr>
          <w:p>
            <w:r>
              <w:rPr>
                <w:sz w:val="19"/>
                <w:szCs w:val="19"/>
              </w:rPr>
              <w:t xml:space="preserve">qXR-UM-03, Instructions for Use</w:t>
            </w:r>
          </w:p>
        </w:tc>
        <w:tc>
          <w:tcPr>
            <w:tcW w:type="dxa" w:w="2808"/>
            <w:shd w:fill="FFFFFF" w:color="auto" w:val="clear"/>
            <w:tcMar>
              <w:top w:type="dxa" w:w="90"/>
              <w:left w:type="dxa" w:w="120"/>
              <w:bottom w:type="dxa" w:w="90"/>
              <w:right w:type="dxa" w:w="120"/>
            </w:tcMar>
            <w:vAlign w:val="center"/>
          </w:tcPr>
          <w:p>
            <w:r>
              <w:rPr>
                <w:sz w:val="19"/>
                <w:szCs w:val="19"/>
              </w:rPr>
              <w:t xml:space="preserve">PDF, supplied directly by Qure</w:t>
            </w:r>
          </w:p>
        </w:tc>
        <w:tc>
          <w:tcPr>
            <w:tcW w:type="dxa" w:w="2808"/>
            <w:shd w:fill="FFFFFF" w:color="auto" w:val="clear"/>
            <w:tcMar>
              <w:top w:type="dxa" w:w="90"/>
              <w:left w:type="dxa" w:w="120"/>
              <w:bottom w:type="dxa" w:w="90"/>
              <w:right w:type="dxa" w:w="120"/>
            </w:tcMar>
            <w:vAlign w:val="center"/>
          </w:tcPr>
          <w:p>
            <w:r>
              <w:rPr>
                <w:sz w:val="19"/>
                <w:szCs w:val="19"/>
              </w:rPr>
              <w:t xml:space="preserve">v4.2, 1 Sept 2024</w:t>
            </w:r>
          </w:p>
        </w:tc>
      </w:tr>
      <w:tr>
        <w:trPr>
          <w:cantSplit w:val="false"/>
        </w:trPr>
        <w:tc>
          <w:tcPr>
            <w:tcW w:type="dxa" w:w="3744"/>
            <w:shd w:fill="F2F2F2" w:color="auto" w:val="clear"/>
            <w:tcMar>
              <w:top w:type="dxa" w:w="90"/>
              <w:left w:type="dxa" w:w="120"/>
              <w:bottom w:type="dxa" w:w="90"/>
              <w:right w:type="dxa" w:w="120"/>
            </w:tcMar>
            <w:vAlign w:val="center"/>
          </w:tcPr>
          <w:p>
            <w:r>
              <w:rPr>
                <w:sz w:val="19"/>
                <w:szCs w:val="19"/>
              </w:rPr>
              <w:t xml:space="preserve">qTrack Onprem Manual V2</w:t>
            </w:r>
          </w:p>
        </w:tc>
        <w:tc>
          <w:tcPr>
            <w:tcW w:type="dxa" w:w="2808"/>
            <w:shd w:fill="F2F2F2" w:color="auto" w:val="clear"/>
            <w:tcMar>
              <w:top w:type="dxa" w:w="90"/>
              <w:left w:type="dxa" w:w="120"/>
              <w:bottom w:type="dxa" w:w="90"/>
              <w:right w:type="dxa" w:w="120"/>
            </w:tcMar>
            <w:vAlign w:val="center"/>
          </w:tcPr>
          <w:p>
            <w:r>
              <w:rPr>
                <w:sz w:val="19"/>
                <w:szCs w:val="19"/>
              </w:rPr>
              <w:t xml:space="preserve">PDF, supplied directly by Qure</w:t>
            </w:r>
          </w:p>
        </w:tc>
        <w:tc>
          <w:tcPr>
            <w:tcW w:type="dxa" w:w="2808"/>
            <w:shd w:fill="F2F2F2" w:color="auto" w:val="clear"/>
            <w:tcMar>
              <w:top w:type="dxa" w:w="90"/>
              <w:left w:type="dxa" w:w="120"/>
              <w:bottom w:type="dxa" w:w="90"/>
              <w:right w:type="dxa" w:w="120"/>
            </w:tcMar>
            <w:vAlign w:val="center"/>
          </w:tcPr>
          <w:p>
            <w:r>
              <w:rPr>
                <w:sz w:val="19"/>
                <w:szCs w:val="19"/>
              </w:rPr>
              <w:t xml:space="preserve">V2, no explicit date in body</w:t>
            </w:r>
          </w:p>
        </w:tc>
      </w:tr>
      <w:tr>
        <w:trPr>
          <w:cantSplit w:val="false"/>
        </w:trPr>
        <w:tc>
          <w:tcPr>
            <w:tcW w:type="dxa" w:w="3744"/>
            <w:shd w:fill="FFFFFF" w:color="auto" w:val="clear"/>
            <w:tcMar>
              <w:top w:type="dxa" w:w="90"/>
              <w:left w:type="dxa" w:w="120"/>
              <w:bottom w:type="dxa" w:w="90"/>
              <w:right w:type="dxa" w:w="120"/>
            </w:tcMar>
            <w:vAlign w:val="center"/>
          </w:tcPr>
          <w:p>
            <w:r>
              <w:rPr>
                <w:sz w:val="19"/>
                <w:szCs w:val="19"/>
              </w:rPr>
              <w:t xml:space="preserve">documentation.qure.ai — Qure.ai App User's Manual</w:t>
            </w:r>
          </w:p>
        </w:tc>
        <w:tc>
          <w:tcPr>
            <w:tcW w:type="dxa" w:w="2808"/>
            <w:shd w:fill="FFFFFF" w:color="auto" w:val="clear"/>
            <w:tcMar>
              <w:top w:type="dxa" w:w="90"/>
              <w:left w:type="dxa" w:w="120"/>
              <w:bottom w:type="dxa" w:w="90"/>
              <w:right w:type="dxa" w:w="120"/>
            </w:tcMar>
            <w:vAlign w:val="center"/>
          </w:tcPr>
          <w:p>
            <w:r>
              <w:rPr>
                <w:sz w:val="19"/>
                <w:szCs w:val="19"/>
              </w:rPr>
              <w:t xml:space="preserve">Public web (GitBook)</w:t>
            </w:r>
          </w:p>
        </w:tc>
        <w:tc>
          <w:tcPr>
            <w:tcW w:type="dxa" w:w="2808"/>
            <w:shd w:fill="FFFFFF" w:color="auto" w:val="clear"/>
            <w:tcMar>
              <w:top w:type="dxa" w:w="90"/>
              <w:left w:type="dxa" w:w="120"/>
              <w:bottom w:type="dxa" w:w="90"/>
              <w:right w:type="dxa" w:w="120"/>
            </w:tcMar>
            <w:vAlign w:val="center"/>
          </w:tcPr>
          <w:p>
            <w:r>
              <w:rPr>
                <w:sz w:val="19"/>
                <w:szCs w:val="19"/>
              </w:rPr>
              <w:t xml:space="preserve">Release notes through v3.1.6 (8 May 2023)</w:t>
            </w:r>
          </w:p>
        </w:tc>
      </w:tr>
      <w:tr>
        <w:trPr>
          <w:cantSplit w:val="false"/>
        </w:trPr>
        <w:tc>
          <w:tcPr>
            <w:tcW w:type="dxa" w:w="3744"/>
            <w:shd w:fill="F2F2F2" w:color="auto" w:val="clear"/>
            <w:tcMar>
              <w:top w:type="dxa" w:w="90"/>
              <w:left w:type="dxa" w:w="120"/>
              <w:bottom w:type="dxa" w:w="90"/>
              <w:right w:type="dxa" w:w="120"/>
            </w:tcMar>
            <w:vAlign w:val="center"/>
          </w:tcPr>
          <w:p>
            <w:r>
              <w:rPr>
                <w:sz w:val="19"/>
                <w:szCs w:val="19"/>
              </w:rPr>
              <w:t xml:space="preserve">documentation.qure.ai — Gateway User Manual / DCMIO features / Configuration</w:t>
            </w:r>
          </w:p>
        </w:tc>
        <w:tc>
          <w:tcPr>
            <w:tcW w:type="dxa" w:w="2808"/>
            <w:shd w:fill="F2F2F2" w:color="auto" w:val="clear"/>
            <w:tcMar>
              <w:top w:type="dxa" w:w="90"/>
              <w:left w:type="dxa" w:w="120"/>
              <w:bottom w:type="dxa" w:w="90"/>
              <w:right w:type="dxa" w:w="120"/>
            </w:tcMar>
            <w:vAlign w:val="center"/>
          </w:tcPr>
          <w:p>
            <w:r>
              <w:rPr>
                <w:sz w:val="19"/>
                <w:szCs w:val="19"/>
              </w:rPr>
              <w:t xml:space="preserve">Public web (GitBook)</w:t>
            </w:r>
          </w:p>
        </w:tc>
        <w:tc>
          <w:tcPr>
            <w:tcW w:type="dxa" w:w="2808"/>
            <w:shd w:fill="F2F2F2" w:color="auto" w:val="clear"/>
            <w:tcMar>
              <w:top w:type="dxa" w:w="90"/>
              <w:left w:type="dxa" w:w="120"/>
              <w:bottom w:type="dxa" w:w="90"/>
              <w:right w:type="dxa" w:w="120"/>
            </w:tcMar>
            <w:vAlign w:val="center"/>
          </w:tcPr>
          <w:p>
            <w:r>
              <w:rPr>
                <w:sz w:val="19"/>
                <w:szCs w:val="19"/>
              </w:rPr>
              <w:t xml:space="preserve">Release notes through v1.0.22 (17 Apr 2025); Configuration page “last updated 2 years ago”</w:t>
            </w:r>
          </w:p>
        </w:tc>
      </w:tr>
      <w:tr>
        <w:trPr>
          <w:cantSplit w:val="false"/>
        </w:trPr>
        <w:tc>
          <w:tcPr>
            <w:tcW w:type="dxa" w:w="3744"/>
            <w:shd w:fill="FFFFFF" w:color="auto" w:val="clear"/>
            <w:tcMar>
              <w:top w:type="dxa" w:w="90"/>
              <w:left w:type="dxa" w:w="120"/>
              <w:bottom w:type="dxa" w:w="90"/>
              <w:right w:type="dxa" w:w="120"/>
            </w:tcMar>
            <w:vAlign w:val="center"/>
          </w:tcPr>
          <w:p>
            <w:r>
              <w:rPr>
                <w:sz w:val="19"/>
                <w:szCs w:val="19"/>
              </w:rPr>
              <w:t xml:space="preserve">documentation.qure.ai — Platform API (Overview, Get Started, API Specifications, Output Specifications, On-premises Deployment Specifications)</w:t>
            </w:r>
          </w:p>
        </w:tc>
        <w:tc>
          <w:tcPr>
            <w:tcW w:type="dxa" w:w="2808"/>
            <w:shd w:fill="FFFFFF" w:color="auto" w:val="clear"/>
            <w:tcMar>
              <w:top w:type="dxa" w:w="90"/>
              <w:left w:type="dxa" w:w="120"/>
              <w:bottom w:type="dxa" w:w="90"/>
              <w:right w:type="dxa" w:w="120"/>
            </w:tcMar>
            <w:vAlign w:val="center"/>
          </w:tcPr>
          <w:p>
            <w:r>
              <w:rPr>
                <w:sz w:val="19"/>
                <w:szCs w:val="19"/>
              </w:rPr>
              <w:t xml:space="preserve">Public web (GitBook)</w:t>
            </w:r>
          </w:p>
        </w:tc>
        <w:tc>
          <w:tcPr>
            <w:tcW w:type="dxa" w:w="2808"/>
            <w:shd w:fill="FFFFFF" w:color="auto" w:val="clear"/>
            <w:tcMar>
              <w:top w:type="dxa" w:w="90"/>
              <w:left w:type="dxa" w:w="120"/>
              <w:bottom w:type="dxa" w:w="90"/>
              <w:right w:type="dxa" w:w="120"/>
            </w:tcMar>
            <w:vAlign w:val="center"/>
          </w:tcPr>
          <w:p>
            <w:r>
              <w:rPr>
                <w:sz w:val="19"/>
                <w:szCs w:val="19"/>
              </w:rPr>
              <w:t xml:space="preserve">Deployment Files page “last updated 3 years ago”</w:t>
            </w:r>
          </w:p>
        </w:tc>
      </w:tr>
      <w:tr>
        <w:trPr>
          <w:cantSplit w:val="false"/>
        </w:trPr>
        <w:tc>
          <w:tcPr>
            <w:tcW w:type="dxa" w:w="3744"/>
            <w:shd w:fill="F2F2F2" w:color="auto" w:val="clear"/>
            <w:tcMar>
              <w:top w:type="dxa" w:w="90"/>
              <w:left w:type="dxa" w:w="120"/>
              <w:bottom w:type="dxa" w:w="90"/>
              <w:right w:type="dxa" w:w="120"/>
            </w:tcMar>
            <w:vAlign w:val="center"/>
          </w:tcPr>
          <w:p>
            <w:r>
              <w:rPr>
                <w:sz w:val="19"/>
                <w:szCs w:val="19"/>
              </w:rPr>
              <w:t xml:space="preserve">qure.ai/us/regulatory-and-privacy</w:t>
            </w:r>
          </w:p>
        </w:tc>
        <w:tc>
          <w:tcPr>
            <w:tcW w:type="dxa" w:w="2808"/>
            <w:shd w:fill="F2F2F2" w:color="auto" w:val="clear"/>
            <w:tcMar>
              <w:top w:type="dxa" w:w="90"/>
              <w:left w:type="dxa" w:w="120"/>
              <w:bottom w:type="dxa" w:w="90"/>
              <w:right w:type="dxa" w:w="120"/>
            </w:tcMar>
            <w:vAlign w:val="center"/>
          </w:tcPr>
          <w:p>
            <w:r>
              <w:rPr>
                <w:sz w:val="19"/>
                <w:szCs w:val="19"/>
              </w:rPr>
              <w:t xml:space="preserve">Public web</w:t>
            </w:r>
          </w:p>
        </w:tc>
        <w:tc>
          <w:tcPr>
            <w:tcW w:type="dxa" w:w="2808"/>
            <w:shd w:fill="F2F2F2" w:color="auto" w:val="clear"/>
            <w:tcMar>
              <w:top w:type="dxa" w:w="90"/>
              <w:left w:type="dxa" w:w="120"/>
              <w:bottom w:type="dxa" w:w="90"/>
              <w:right w:type="dxa" w:w="120"/>
            </w:tcMar>
            <w:vAlign w:val="center"/>
          </w:tcPr>
          <w:p>
            <w:r>
              <w:rPr>
                <w:sz w:val="19"/>
                <w:szCs w:val="19"/>
              </w:rPr>
              <w:t xml:space="preserve">Live at time of review; lists current FDA/CE clearances</w:t>
            </w:r>
          </w:p>
        </w:tc>
      </w:tr>
      <w:tr>
        <w:trPr>
          <w:cantSplit w:val="false"/>
        </w:trPr>
        <w:tc>
          <w:tcPr>
            <w:tcW w:type="dxa" w:w="3744"/>
            <w:shd w:fill="FFFFFF" w:color="auto" w:val="clear"/>
            <w:tcMar>
              <w:top w:type="dxa" w:w="90"/>
              <w:left w:type="dxa" w:w="120"/>
              <w:bottom w:type="dxa" w:w="90"/>
              <w:right w:type="dxa" w:w="120"/>
            </w:tcMar>
            <w:vAlign w:val="center"/>
          </w:tcPr>
          <w:p>
            <w:r>
              <w:rPr>
                <w:sz w:val="19"/>
                <w:szCs w:val="19"/>
              </w:rPr>
              <w:t xml:space="preserve">minxray.com (product pages, MinXCloud, ITN press coverage)</w:t>
            </w:r>
          </w:p>
        </w:tc>
        <w:tc>
          <w:tcPr>
            <w:tcW w:type="dxa" w:w="2808"/>
            <w:shd w:fill="FFFFFF" w:color="auto" w:val="clear"/>
            <w:tcMar>
              <w:top w:type="dxa" w:w="90"/>
              <w:left w:type="dxa" w:w="120"/>
              <w:bottom w:type="dxa" w:w="90"/>
              <w:right w:type="dxa" w:w="120"/>
            </w:tcMar>
            <w:vAlign w:val="center"/>
          </w:tcPr>
          <w:p>
            <w:r>
              <w:rPr>
                <w:sz w:val="19"/>
                <w:szCs w:val="19"/>
              </w:rPr>
              <w:t xml:space="preserve">Public web / press</w:t>
            </w:r>
          </w:p>
        </w:tc>
        <w:tc>
          <w:tcPr>
            <w:tcW w:type="dxa" w:w="2808"/>
            <w:shd w:fill="FFFFFF" w:color="auto" w:val="clear"/>
            <w:tcMar>
              <w:top w:type="dxa" w:w="90"/>
              <w:left w:type="dxa" w:w="120"/>
              <w:bottom w:type="dxa" w:w="90"/>
              <w:right w:type="dxa" w:w="120"/>
            </w:tcMar>
            <w:vAlign w:val="center"/>
          </w:tcPr>
          <w:p>
            <w:r>
              <w:rPr>
                <w:sz w:val="19"/>
                <w:szCs w:val="19"/>
              </w:rPr>
              <w:t xml:space="preserve">Various; MinXray+qXR bundling announced June 2022</w:t>
            </w:r>
          </w:p>
        </w:tc>
      </w:tr>
      <w:tr>
        <w:trPr>
          <w:cantSplit w:val="false"/>
        </w:trPr>
        <w:tc>
          <w:tcPr>
            <w:tcW w:type="dxa" w:w="3744"/>
            <w:shd w:fill="F2F2F2" w:color="auto" w:val="clear"/>
            <w:tcMar>
              <w:top w:type="dxa" w:w="90"/>
              <w:left w:type="dxa" w:w="120"/>
              <w:bottom w:type="dxa" w:w="90"/>
              <w:right w:type="dxa" w:w="120"/>
            </w:tcMar>
            <w:vAlign w:val="center"/>
          </w:tcPr>
          <w:p>
            <w:r>
              <w:rPr>
                <w:sz w:val="19"/>
                <w:szCs w:val="19"/>
              </w:rPr>
              <w:t xml:space="preserve">DICOM PS3.4 / PS3.6 SOP Class registry</w:t>
            </w:r>
          </w:p>
        </w:tc>
        <w:tc>
          <w:tcPr>
            <w:tcW w:type="dxa" w:w="2808"/>
            <w:shd w:fill="F2F2F2" w:color="auto" w:val="clear"/>
            <w:tcMar>
              <w:top w:type="dxa" w:w="90"/>
              <w:left w:type="dxa" w:w="120"/>
              <w:bottom w:type="dxa" w:w="90"/>
              <w:right w:type="dxa" w:w="120"/>
            </w:tcMar>
            <w:vAlign w:val="center"/>
          </w:tcPr>
          <w:p>
            <w:r>
              <w:rPr>
                <w:sz w:val="19"/>
                <w:szCs w:val="19"/>
              </w:rPr>
              <w:t xml:space="preserve">Standards body reference</w:t>
            </w:r>
          </w:p>
        </w:tc>
        <w:tc>
          <w:tcPr>
            <w:tcW w:type="dxa" w:w="2808"/>
            <w:shd w:fill="F2F2F2" w:color="auto" w:val="clear"/>
            <w:tcMar>
              <w:top w:type="dxa" w:w="90"/>
              <w:left w:type="dxa" w:w="120"/>
              <w:bottom w:type="dxa" w:w="90"/>
              <w:right w:type="dxa" w:w="120"/>
            </w:tcMar>
            <w:vAlign w:val="center"/>
          </w:tcPr>
          <w:p>
            <w:r>
              <w:rPr>
                <w:sz w:val="19"/>
                <w:szCs w:val="19"/>
              </w:rPr>
              <w:t xml:space="preserve">Verified against NEMA / community mirrors during this review</w:t>
            </w:r>
          </w:p>
        </w:tc>
      </w:tr>
      <w:tr>
        <w:trPr>
          <w:cantSplit w:val="false"/>
        </w:trPr>
        <w:tc>
          <w:tcPr>
            <w:tcW w:type="dxa" w:w="3744"/>
            <w:shd w:fill="FFFFFF" w:color="auto" w:val="clear"/>
            <w:tcMar>
              <w:top w:type="dxa" w:w="90"/>
              <w:left w:type="dxa" w:w="120"/>
              <w:bottom w:type="dxa" w:w="90"/>
              <w:right w:type="dxa" w:w="120"/>
            </w:tcMar>
            <w:vAlign w:val="center"/>
          </w:tcPr>
          <w:p>
            <w:r>
              <w:rPr>
                <w:sz w:val="19"/>
                <w:szCs w:val="19"/>
              </w:rPr>
              <w:t xml:space="preserve">Docker Hub credential test</w:t>
            </w:r>
          </w:p>
        </w:tc>
        <w:tc>
          <w:tcPr>
            <w:tcW w:type="dxa" w:w="2808"/>
            <w:shd w:fill="FFFFFF" w:color="auto" w:val="clear"/>
            <w:tcMar>
              <w:top w:type="dxa" w:w="90"/>
              <w:left w:type="dxa" w:w="120"/>
              <w:bottom w:type="dxa" w:w="90"/>
              <w:right w:type="dxa" w:w="120"/>
            </w:tcMar>
            <w:vAlign w:val="center"/>
          </w:tcPr>
          <w:p>
            <w:r>
              <w:rPr>
                <w:sz w:val="19"/>
                <w:szCs w:val="19"/>
              </w:rPr>
              <w:t xml:space="preserve">Hands-on verification</w:t>
            </w:r>
          </w:p>
        </w:tc>
        <w:tc>
          <w:tcPr>
            <w:tcW w:type="dxa" w:w="2808"/>
            <w:shd w:fill="FFFFFF" w:color="auto" w:val="clear"/>
            <w:tcMar>
              <w:top w:type="dxa" w:w="90"/>
              <w:left w:type="dxa" w:w="120"/>
              <w:bottom w:type="dxa" w:w="90"/>
              <w:right w:type="dxa" w:w="120"/>
            </w:tcMar>
            <w:vAlign w:val="center"/>
          </w:tcPr>
          <w:p>
            <w:r>
              <w:rPr>
                <w:sz w:val="19"/>
                <w:szCs w:val="19"/>
              </w:rPr>
              <w:t xml:space="preserve">Tested Aug 2026; authenticates, no working repo access</w:t>
            </w:r>
          </w:p>
        </w:tc>
      </w:tr>
    </w:tbl>
    <w:p>
      <w:pPr>
        <w:spacing w:after="200"/>
      </w:pPr>
    </w:p>
    <w:p>
      <w:pPr>
        <w:spacing w:after="160" w:line="276"/>
      </w:pPr>
      <w:r>
        <w:rPr>
          <w:i/>
          <w:iCs/>
          <w:color w:val="666666"/>
          <w:sz w:val="19"/>
          <w:szCs w:val="19"/>
        </w:rPr>
        <w:t xml:space="preserve">This document was assembled by an AI assistant from the sources above and should be checked against Qure's authoritative guidance, particularly anywhere marked as inferred, unconfirmed, or an open question.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MinXray / Qure.ai Integration — Reference Doc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2026-08-18T18:12:06.327Z</dcterms:created>
  <dcterms:modified xsi:type="dcterms:W3CDTF">2026-08-18T18:12:06.327Z</dcterms:modified>
</cp:coreProperties>
</file>

<file path=docProps/custom.xml><?xml version="1.0" encoding="utf-8"?>
<Properties xmlns="http://schemas.openxmlformats.org/officeDocument/2006/custom-properties" xmlns:vt="http://schemas.openxmlformats.org/officeDocument/2006/docPropsVTypes"/>
</file>