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r>
        <w:rPr>
          <w:rFonts w:ascii="Arial" w:cs="Arial" w:eastAsia="Arial" w:hAnsi="Arial"/>
          <w:b/>
          <w:bCs/>
          <w:color w:val="2E75B6"/>
          <w:spacing w:val="200"/>
          <w:sz w:val="22"/>
          <w:szCs w:val="22"/>
        </w:rPr>
        <w:t xml:space="preserve">DIGITAL SIGNAL INTELLIGENCE</w:t>
      </w:r>
    </w:p>
    <w:p>
      <w:pPr>
        <w:pBdr>
          <w:bottom w:val="single" w:color="E85D26" w:sz="6" w:space="8"/>
        </w:pBdr>
        <w:spacing w:after="200"/>
      </w:pPr>
      <w:r>
        <w:rPr>
          <w:rFonts w:ascii="Arial" w:cs="Arial" w:eastAsia="Arial" w:hAnsi="Arial"/>
          <w:b/>
          <w:bCs/>
          <w:color w:val="1B3A4B"/>
          <w:sz w:val="56"/>
          <w:szCs w:val="56"/>
        </w:rPr>
        <w:t xml:space="preserve">World Engine</w:t>
      </w:r>
    </w:p>
    <w:p>
      <w:pPr>
        <w:spacing w:after="120"/>
      </w:pPr>
      <w:r>
        <w:rPr>
          <w:rFonts w:ascii="Arial" w:cs="Arial" w:eastAsia="Arial" w:hAnsi="Arial"/>
          <w:color w:val="1B3A4B"/>
          <w:sz w:val="36"/>
          <w:szCs w:val="36"/>
        </w:rPr>
        <w:t xml:space="preserve">Architecture Specification</w:t>
      </w:r>
    </w:p>
    <w:p>
      <w:pPr>
        <w:spacing w:after="400"/>
      </w:pPr>
      <w:r>
        <w:rPr>
          <w:rFonts w:ascii="Arial" w:cs="Arial" w:eastAsia="Arial" w:hAnsi="Arial"/>
          <w:color w:val="999999"/>
          <w:sz w:val="28"/>
          <w:szCs w:val="28"/>
        </w:rPr>
        <w:t xml:space="preserve">The Autonomous Intelligence Layer</w:t>
      </w:r>
    </w:p>
    <w:p>
      <w:pPr>
        <w:spacing w:after="80"/>
      </w:pPr>
    </w:p>
    <w:p>
      <w:pPr>
        <w:spacing w:after="80"/>
      </w:pPr>
    </w:p>
    <w:p>
      <w:pPr>
        <w:spacing w:after="160" w:line="276"/>
      </w:pPr>
      <w:r>
        <w:rPr>
          <w:rFonts w:ascii="Arial" w:cs="Arial" w:eastAsia="Arial" w:hAnsi="Arial"/>
          <w:b/>
          <w:bCs/>
          <w:sz w:val="21"/>
          <w:szCs w:val="21"/>
        </w:rPr>
        <w:t xml:space="preserve">Classification: </w:t>
      </w:r>
      <w:r>
        <w:rPr>
          <w:rFonts w:ascii="Arial" w:cs="Arial" w:eastAsia="Arial" w:hAnsi="Arial"/>
          <w:sz w:val="21"/>
          <w:szCs w:val="21"/>
        </w:rPr>
        <w:t xml:space="preserve">Internal — Architecture Specification</w:t>
      </w:r>
    </w:p>
    <w:p>
      <w:pPr>
        <w:spacing w:after="160" w:line="276"/>
      </w:pPr>
      <w:r>
        <w:rPr>
          <w:rFonts w:ascii="Arial" w:cs="Arial" w:eastAsia="Arial" w:hAnsi="Arial"/>
          <w:b/>
          <w:bCs/>
          <w:sz w:val="21"/>
          <w:szCs w:val="21"/>
        </w:rPr>
        <w:t xml:space="preserve">Author: </w:t>
      </w:r>
      <w:r>
        <w:rPr>
          <w:rFonts w:ascii="Arial" w:cs="Arial" w:eastAsia="Arial" w:hAnsi="Arial"/>
          <w:sz w:val="21"/>
          <w:szCs w:val="21"/>
        </w:rPr>
        <w:t xml:space="preserve">John Walker</w:t>
      </w:r>
    </w:p>
    <w:p>
      <w:pPr>
        <w:spacing w:after="160" w:line="276"/>
      </w:pPr>
      <w:r>
        <w:rPr>
          <w:rFonts w:ascii="Arial" w:cs="Arial" w:eastAsia="Arial" w:hAnsi="Arial"/>
          <w:b/>
          <w:bCs/>
          <w:sz w:val="21"/>
          <w:szCs w:val="21"/>
        </w:rPr>
        <w:t xml:space="preserve">Date: </w:t>
      </w:r>
      <w:r>
        <w:rPr>
          <w:rFonts w:ascii="Arial" w:cs="Arial" w:eastAsia="Arial" w:hAnsi="Arial"/>
          <w:sz w:val="21"/>
          <w:szCs w:val="21"/>
        </w:rPr>
        <w:t xml:space="preserve">April 2026</w:t>
      </w:r>
    </w:p>
    <w:p>
      <w:pPr>
        <w:spacing w:after="160" w:line="276"/>
      </w:pPr>
      <w:r>
        <w:rPr>
          <w:rFonts w:ascii="Arial" w:cs="Arial" w:eastAsia="Arial" w:hAnsi="Arial"/>
          <w:b/>
          <w:bCs/>
          <w:sz w:val="21"/>
          <w:szCs w:val="21"/>
        </w:rPr>
        <w:t xml:space="preserve">Version: </w:t>
      </w:r>
      <w:r>
        <w:rPr>
          <w:rFonts w:ascii="Arial" w:cs="Arial" w:eastAsia="Arial" w:hAnsi="Arial"/>
          <w:sz w:val="21"/>
          <w:szCs w:val="21"/>
        </w:rPr>
        <w:t xml:space="preserve">1.0</w:t>
      </w:r>
    </w:p>
    <w:p>
      <w:pPr>
        <w:spacing w:after="80"/>
      </w:pPr>
    </w:p>
    <w:p>
      <w:pPr>
        <w:spacing w:after="80"/>
      </w:pPr>
    </w:p>
    <w:p>
      <w:pPr>
        <w:spacing w:after="80"/>
      </w:pPr>
    </w:p>
    <w:p>
      <w:pPr>
        <w:spacing w:after="80"/>
      </w:pPr>
    </w:p>
    <w:p>
      <w:pPr>
        <w:spacing w:after="80"/>
      </w:pPr>
    </w:p>
    <w:p>
      <w:pPr>
        <w:spacing w:after="160" w:line="276"/>
        <w:rPr>
          <w:color w:val="999999"/>
          <w:sz w:val="18"/>
          <w:szCs w:val="18"/>
        </w:rPr>
      </w:pPr>
      <w:r>
        <w:rPr>
          <w:rFonts w:ascii="Arial" w:cs="Arial" w:eastAsia="Arial" w:hAnsi="Arial"/>
          <w:color w:val="999999"/>
          <w:sz w:val="18"/>
          <w:szCs w:val="18"/>
        </w:rPr>
        <w:t xml:space="preserve">© John Walker — All rights reserved.</w:t>
      </w:r>
    </w:p>
    <w:p>
      <w:pPr>
        <w:spacing w:after="160" w:line="276"/>
        <w:rPr>
          <w:i/>
          <w:iCs/>
          <w:color w:val="999999"/>
          <w:sz w:val="18"/>
          <w:szCs w:val="18"/>
        </w:rPr>
      </w:pPr>
      <w:r>
        <w:rPr>
          <w:rFonts w:ascii="Arial" w:cs="Arial" w:eastAsia="Arial" w:hAnsi="Arial"/>
          <w:i/>
          <w:iCs/>
          <w:color w:val="999999"/>
          <w:sz w:val="18"/>
          <w:szCs w:val="18"/>
        </w:rPr>
        <w:t xml:space="preserve">This document contains proprietary methodology. Distribution restricted.</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4B"/>
          <w:sz w:val="32"/>
          <w:szCs w:val="32"/>
        </w:rPr>
        <w:t xml:space="preserve">1. Position in the DSI Architecture</w:t>
      </w:r>
    </w:p>
    <w:p>
      <w:pPr>
        <w:spacing w:after="160" w:line="276"/>
      </w:pPr>
      <w:r>
        <w:rPr>
          <w:rFonts w:ascii="Arial" w:cs="Arial" w:eastAsia="Arial" w:hAnsi="Arial"/>
          <w:sz w:val="21"/>
          <w:szCs w:val="21"/>
        </w:rPr>
        <w:t xml:space="preserve">DSI’s architecture separates concerns into distinct abstraction layers, each with its own ownership, change cadence, and operational domain. The World Engine is the third and highest abstraction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5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Change Cadence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Coverage Config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Technical pricing, signals, weights, tiers, score_conditions, ILF curves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coverages/{coverage}/config.yaml</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Regular — tuning, new signals, actuarial updates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Commercial Entity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Appetite, distribution, commission, taxes, FX, discretion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commercial/entities/{entity}.yaml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Occasional — new entities, authority changes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color w:val="E85D26"/>
                <w:sz w:val="21"/>
                <w:szCs w:val="21"/>
              </w:rPr>
              <w:t xml:space="preserve">World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Autonomous causal discovery, cross-signal validation, emergent intelligence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Self-managed — no human configuration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Continuous — fully autonomous</w:t>
            </w:r>
          </w:p>
        </w:tc>
      </w:tr>
    </w:tbl>
    <w:p>
      <w:pPr>
        <w:spacing w:after="80"/>
      </w:pPr>
    </w:p>
    <w:p>
      <w:pPr>
        <w:pStyle w:val="Heading2"/>
        <w:spacing w:after="160" w:before="280"/>
      </w:pPr>
      <w:r>
        <w:rPr>
          <w:rFonts w:ascii="Arial" w:cs="Arial" w:eastAsia="Arial" w:hAnsi="Arial"/>
          <w:b/>
          <w:bCs/>
          <w:color w:val="2E75B6"/>
          <w:sz w:val="26"/>
          <w:szCs w:val="26"/>
        </w:rPr>
        <w:t xml:space="preserve">1.1 The Separation Principle</w:t>
      </w:r>
    </w:p>
    <w:p>
      <w:pPr>
        <w:spacing w:after="160" w:line="276"/>
      </w:pPr>
      <w:r>
        <w:rPr>
          <w:rFonts w:ascii="Arial" w:cs="Arial" w:eastAsia="Arial" w:hAnsi="Arial"/>
          <w:sz w:val="21"/>
          <w:szCs w:val="21"/>
        </w:rPr>
        <w:t xml:space="preserve">The Coverage Config answers: how do we price this specific risk? The Commercial Entity answers: do we want this risk, through which channel, on what terms? The World Engine answers a fundamentally different question: what does the accumulated population of all assessments, across all entities, all coverages, and all time, reveal about the structure of risk that we did not already know?</w:t>
      </w:r>
    </w:p>
    <w:p>
      <w:pPr>
        <w:spacing w:after="160" w:line="276"/>
      </w:pPr>
      <w:r>
        <w:rPr>
          <w:rFonts w:ascii="Arial" w:cs="Arial" w:eastAsia="Arial" w:hAnsi="Arial"/>
          <w:sz w:val="21"/>
          <w:szCs w:val="21"/>
        </w:rPr>
        <w:t xml:space="preserve">The World Engine is not a module within either lower layer. It is an independent intelligence system that consumes the output of every assessment, runs its own autonomous processes, and publishes discoveries back as system-level intelligence that both lower layers can optionally consume. It has no YAML configuration. It has no human governance gate. It self-calibrates, self-validates, and self-corrects.</w:t>
      </w:r>
    </w:p>
    <w:p>
      <w:pPr>
        <w:pStyle w:val="Heading2"/>
        <w:spacing w:after="160" w:before="280"/>
      </w:pPr>
      <w:r>
        <w:rPr>
          <w:rFonts w:ascii="Arial" w:cs="Arial" w:eastAsia="Arial" w:hAnsi="Arial"/>
          <w:b/>
          <w:bCs/>
          <w:color w:val="2E75B6"/>
          <w:sz w:val="26"/>
          <w:szCs w:val="26"/>
        </w:rPr>
        <w:t xml:space="preserve">1.2 Architectural Relationship</w:t>
      </w:r>
    </w:p>
    <w:p>
      <w:pPr>
        <w:spacing w:after="160" w:line="276"/>
      </w:pPr>
      <w:r>
        <w:rPr>
          <w:rFonts w:ascii="Arial" w:cs="Arial" w:eastAsia="Arial" w:hAnsi="Arial"/>
          <w:sz w:val="21"/>
          <w:szCs w:val="21"/>
        </w:rPr>
        <w:t xml:space="preserve">The relationship between layers is strictly defined:</w:t>
      </w:r>
    </w:p>
    <w:p>
      <w:pPr>
        <w:pStyle w:val="ListParagraph"/>
        <w:numPr>
          <w:ilvl w:val="0"/>
          <w:numId w:val="2"/>
        </w:numPr>
        <w:spacing w:after="100" w:line="276"/>
      </w:pPr>
      <w:r>
        <w:rPr>
          <w:rFonts w:ascii="Arial" w:cs="Arial" w:eastAsia="Arial" w:hAnsi="Arial"/>
          <w:b/>
          <w:bCs/>
          <w:sz w:val="21"/>
          <w:szCs w:val="21"/>
        </w:rPr>
        <w:t xml:space="preserve">Downward consumption: </w:t>
      </w:r>
      <w:r>
        <w:rPr>
          <w:rFonts w:ascii="Arial" w:cs="Arial" w:eastAsia="Arial" w:hAnsi="Arial"/>
          <w:sz w:val="21"/>
          <w:szCs w:val="21"/>
        </w:rPr>
        <w:t xml:space="preserve">The World Engine reads from the assessment database. Every model cycle (every priced submission across every coverage and entity) produces a versioned, atomic dataset. The World Engine consumes these datasets in aggregate. It never reads individual coverage configs or entity definitions — it operates on outcomes.</w:t>
      </w:r>
    </w:p>
    <w:p>
      <w:pPr>
        <w:pStyle w:val="ListParagraph"/>
        <w:numPr>
          <w:ilvl w:val="0"/>
          <w:numId w:val="2"/>
        </w:numPr>
        <w:spacing w:after="100" w:line="276"/>
      </w:pPr>
      <w:r>
        <w:rPr>
          <w:rFonts w:ascii="Arial" w:cs="Arial" w:eastAsia="Arial" w:hAnsi="Arial"/>
          <w:b/>
          <w:bCs/>
          <w:sz w:val="21"/>
          <w:szCs w:val="21"/>
        </w:rPr>
        <w:t xml:space="preserve">Upward publication: </w:t>
      </w:r>
      <w:r>
        <w:rPr>
          <w:rFonts w:ascii="Arial" w:cs="Arial" w:eastAsia="Arial" w:hAnsi="Arial"/>
          <w:sz w:val="21"/>
          <w:szCs w:val="21"/>
        </w:rPr>
        <w:t xml:space="preserve">The World Engine publishes its discoveries to a system-level intelligence registry. This registry is available to the Coverage Config layer (which may use discovered relationships to inform weight calibration) and the Commercial Entity layer (which may use portfolio-level insights for appetite refinement). But neither lower layer is required to consume World Engine outputs. The Engine’s authority is earned, not imposed.</w:t>
      </w:r>
    </w:p>
    <w:p>
      <w:pPr>
        <w:pStyle w:val="ListParagraph"/>
        <w:numPr>
          <w:ilvl w:val="0"/>
          <w:numId w:val="2"/>
        </w:numPr>
        <w:spacing w:after="100" w:line="276"/>
      </w:pPr>
      <w:r>
        <w:rPr>
          <w:rFonts w:ascii="Arial" w:cs="Arial" w:eastAsia="Arial" w:hAnsi="Arial"/>
          <w:b/>
          <w:bCs/>
          <w:sz w:val="21"/>
          <w:szCs w:val="21"/>
        </w:rPr>
        <w:t xml:space="preserve">No coupling: </w:t>
      </w:r>
      <w:r>
        <w:rPr>
          <w:rFonts w:ascii="Arial" w:cs="Arial" w:eastAsia="Arial" w:hAnsi="Arial"/>
          <w:sz w:val="21"/>
          <w:szCs w:val="21"/>
        </w:rPr>
        <w:t xml:space="preserve">The World Engine does not modify coverage configs, entity definitions, or pricing parameters directly. It publishes intelligence. Downstream systems decide what to do with it. This ensures that the Engine cannot destabilise production pricing through a faulty discovery.</w:t>
      </w:r>
    </w:p>
    <w:p>
      <w:r>
        <w:br w:type="page"/>
      </w:r>
    </w:p>
    <w:p>
      <w:pPr>
        <w:pStyle w:val="Heading1"/>
        <w:spacing w:after="200" w:before="360"/>
      </w:pPr>
      <w:r>
        <w:rPr>
          <w:rFonts w:ascii="Arial" w:cs="Arial" w:eastAsia="Arial" w:hAnsi="Arial"/>
          <w:b/>
          <w:bCs/>
          <w:color w:val="1B3A4B"/>
          <w:sz w:val="32"/>
          <w:szCs w:val="32"/>
        </w:rPr>
        <w:t xml:space="preserve">2. What the World Engine Is</w:t>
      </w:r>
    </w:p>
    <w:p>
      <w:pPr>
        <w:spacing w:after="160" w:line="276"/>
      </w:pPr>
      <w:r>
        <w:rPr>
          <w:rFonts w:ascii="Arial" w:cs="Arial" w:eastAsia="Arial" w:hAnsi="Arial"/>
          <w:sz w:val="21"/>
          <w:szCs w:val="21"/>
        </w:rPr>
        <w:t xml:space="preserve">The World Engine is an autonomous intelligence system that operates on the accumulated population of DSI assessments to discover, validate, and maintain causal relationships between signals that were not designed into the system.</w:t>
      </w:r>
    </w:p>
    <w:p>
      <w:pPr>
        <w:pStyle w:val="Heading2"/>
        <w:spacing w:after="160" w:before="280"/>
      </w:pPr>
      <w:r>
        <w:rPr>
          <w:rFonts w:ascii="Arial" w:cs="Arial" w:eastAsia="Arial" w:hAnsi="Arial"/>
          <w:b/>
          <w:bCs/>
          <w:color w:val="2E75B6"/>
          <w:sz w:val="26"/>
          <w:szCs w:val="26"/>
        </w:rPr>
        <w:t xml:space="preserve">2.1 The Core Distinction</w:t>
      </w:r>
    </w:p>
    <w:p>
      <w:pPr>
        <w:spacing w:after="160" w:line="276"/>
      </w:pPr>
      <w:r>
        <w:rPr>
          <w:rFonts w:ascii="Arial" w:cs="Arial" w:eastAsia="Arial" w:hAnsi="Arial"/>
          <w:sz w:val="21"/>
          <w:szCs w:val="21"/>
        </w:rPr>
        <w:t xml:space="preserve">DSI’s coverage configurations contain designed relationships: signal weights, correlation directions, score_conditions. These are domain-expert priors, encoded at design time. A human decided that TLS configuration quality correlates negatively with cyber loss frequency, and encoded that as a weight and direction in the config.</w:t>
      </w:r>
    </w:p>
    <w:p>
      <w:pPr>
        <w:spacing w:after="160" w:line="276"/>
      </w:pPr>
      <w:r>
        <w:rPr>
          <w:rFonts w:ascii="Arial" w:cs="Arial" w:eastAsia="Arial" w:hAnsi="Arial"/>
          <w:sz w:val="21"/>
          <w:szCs w:val="21"/>
        </w:rPr>
        <w:t xml:space="preserve">The World Engine discovers emergent relationships: patterns that arise from the data itself, across coverages, across entities, across time. No human anticipated them. No human encoded them. The system found them autonomously, validated them statistically, and either promoted them into active influence or discarded them as noise.</w:t>
      </w:r>
    </w:p>
    <w:p>
      <w:pPr>
        <w:spacing w:after="160" w:line="276"/>
      </w:pPr>
      <w:r>
        <w:rPr>
          <w:rFonts w:ascii="Arial" w:cs="Arial" w:eastAsia="Arial" w:hAnsi="Arial"/>
          <w:sz w:val="21"/>
          <w:szCs w:val="21"/>
        </w:rPr>
        <w:t xml:space="preserve">This is the distinction between a </w:t>
      </w:r>
      <w:r>
        <w:rPr>
          <w:rFonts w:ascii="Arial" w:cs="Arial" w:eastAsia="Arial" w:hAnsi="Arial"/>
          <w:b/>
          <w:bCs/>
          <w:sz w:val="21"/>
          <w:szCs w:val="21"/>
        </w:rPr>
        <w:t xml:space="preserve">scoring tool</w:t>
      </w:r>
      <w:r>
        <w:rPr>
          <w:rFonts w:ascii="Arial" w:cs="Arial" w:eastAsia="Arial" w:hAnsi="Arial"/>
          <w:sz w:val="21"/>
          <w:szCs w:val="21"/>
        </w:rPr>
        <w:t xml:space="preserve"> and a </w:t>
      </w:r>
      <w:r>
        <w:rPr>
          <w:rFonts w:ascii="Arial" w:cs="Arial" w:eastAsia="Arial" w:hAnsi="Arial"/>
          <w:b/>
          <w:bCs/>
          <w:sz w:val="21"/>
          <w:szCs w:val="21"/>
        </w:rPr>
        <w:t xml:space="preserve">world model</w:t>
      </w:r>
      <w:r>
        <w:rPr>
          <w:rFonts w:ascii="Arial" w:cs="Arial" w:eastAsia="Arial" w:hAnsi="Arial"/>
          <w:sz w:val="21"/>
          <w:szCs w:val="21"/>
        </w:rPr>
        <w:t xml:space="preserve">. A scoring tool applies the relationships you gave it. A world model discovers relationships you didn’t know existed.</w:t>
      </w:r>
    </w:p>
    <w:p>
      <w:pPr>
        <w:pStyle w:val="Heading2"/>
        <w:spacing w:after="160" w:before="280"/>
      </w:pPr>
      <w:r>
        <w:rPr>
          <w:rFonts w:ascii="Arial" w:cs="Arial" w:eastAsia="Arial" w:hAnsi="Arial"/>
          <w:b/>
          <w:bCs/>
          <w:color w:val="2E75B6"/>
          <w:sz w:val="26"/>
          <w:szCs w:val="26"/>
        </w:rPr>
        <w:t xml:space="preserve">2.2 What It Operates On</w:t>
      </w:r>
    </w:p>
    <w:p>
      <w:pPr>
        <w:spacing w:after="160" w:line="276"/>
      </w:pPr>
      <w:r>
        <w:rPr>
          <w:rFonts w:ascii="Arial" w:cs="Arial" w:eastAsia="Arial" w:hAnsi="Arial"/>
          <w:sz w:val="21"/>
          <w:szCs w:val="21"/>
        </w:rPr>
        <w:t xml:space="preserve">The World Engine’s input is the complete assessment database: every model cycle, every signal score, every three-layer assessment output (risk tier, exposure band, loss propensity), every graph snapshot, every derivative calculation, every commercial outcome. This includes:</w:t>
      </w:r>
    </w:p>
    <w:p>
      <w:pPr>
        <w:pStyle w:val="ListParagraph"/>
        <w:numPr>
          <w:ilvl w:val="0"/>
          <w:numId w:val="2"/>
        </w:numPr>
        <w:spacing w:after="100" w:line="276"/>
      </w:pPr>
      <w:r>
        <w:rPr>
          <w:rFonts w:ascii="Arial" w:cs="Arial" w:eastAsia="Arial" w:hAnsi="Arial"/>
          <w:b/>
          <w:bCs/>
          <w:sz w:val="21"/>
          <w:szCs w:val="21"/>
        </w:rPr>
        <w:t xml:space="preserve">Signal-level data: </w:t>
      </w:r>
      <w:r>
        <w:rPr>
          <w:rFonts w:ascii="Arial" w:cs="Arial" w:eastAsia="Arial" w:hAnsi="Arial"/>
          <w:sz w:val="21"/>
          <w:szCs w:val="21"/>
        </w:rPr>
        <w:t xml:space="preserve">Raw scores (0–100) and confidence values for every signal, every entity, every assessment timestamp.</w:t>
      </w:r>
    </w:p>
    <w:p>
      <w:pPr>
        <w:pStyle w:val="ListParagraph"/>
        <w:numPr>
          <w:ilvl w:val="0"/>
          <w:numId w:val="2"/>
        </w:numPr>
        <w:spacing w:after="100" w:line="276"/>
      </w:pPr>
      <w:r>
        <w:rPr>
          <w:rFonts w:ascii="Arial" w:cs="Arial" w:eastAsia="Arial" w:hAnsi="Arial"/>
          <w:b/>
          <w:bCs/>
          <w:sz w:val="21"/>
          <w:szCs w:val="21"/>
        </w:rPr>
        <w:t xml:space="preserve">Assessment-level data: </w:t>
      </w:r>
      <w:r>
        <w:rPr>
          <w:rFonts w:ascii="Arial" w:cs="Arial" w:eastAsia="Arial" w:hAnsi="Arial"/>
          <w:sz w:val="21"/>
          <w:szCs w:val="21"/>
        </w:rPr>
        <w:t xml:space="preserve">Composite scores, tier assignments, exposure bands, loss propensity bands, cohort assignments, divergence flags.</w:t>
      </w:r>
    </w:p>
    <w:p>
      <w:pPr>
        <w:pStyle w:val="ListParagraph"/>
        <w:numPr>
          <w:ilvl w:val="0"/>
          <w:numId w:val="2"/>
        </w:numPr>
        <w:spacing w:after="100" w:line="276"/>
      </w:pPr>
      <w:r>
        <w:rPr>
          <w:rFonts w:ascii="Arial" w:cs="Arial" w:eastAsia="Arial" w:hAnsi="Arial"/>
          <w:b/>
          <w:bCs/>
          <w:sz w:val="21"/>
          <w:szCs w:val="21"/>
        </w:rPr>
        <w:t xml:space="preserve">Graph-level data: </w:t>
      </w:r>
      <w:r>
        <w:rPr>
          <w:rFonts w:ascii="Arial" w:cs="Arial" w:eastAsia="Arial" w:hAnsi="Arial"/>
          <w:sz w:val="21"/>
          <w:szCs w:val="21"/>
        </w:rPr>
        <w:t xml:space="preserve">Organisational Graph snapshots including node/edge structures, PageRank distributions, and all five derivative values (entropy, velocity, drift, concentration, fragility).</w:t>
      </w:r>
    </w:p>
    <w:p>
      <w:pPr>
        <w:pStyle w:val="ListParagraph"/>
        <w:numPr>
          <w:ilvl w:val="0"/>
          <w:numId w:val="2"/>
        </w:numPr>
        <w:spacing w:after="100" w:line="276"/>
      </w:pPr>
      <w:r>
        <w:rPr>
          <w:rFonts w:ascii="Arial" w:cs="Arial" w:eastAsia="Arial" w:hAnsi="Arial"/>
          <w:b/>
          <w:bCs/>
          <w:sz w:val="21"/>
          <w:szCs w:val="21"/>
        </w:rPr>
        <w:t xml:space="preserve">Outcome data: </w:t>
      </w:r>
      <w:r>
        <w:rPr>
          <w:rFonts w:ascii="Arial" w:cs="Arial" w:eastAsia="Arial" w:hAnsi="Arial"/>
          <w:sz w:val="21"/>
          <w:szCs w:val="21"/>
        </w:rPr>
        <w:t xml:space="preserve">Where available, actual loss events linked back to assessed entities. This is sparse initially but accumulates over the forward validation period.</w:t>
      </w:r>
    </w:p>
    <w:p>
      <w:pPr>
        <w:pStyle w:val="ListParagraph"/>
        <w:numPr>
          <w:ilvl w:val="0"/>
          <w:numId w:val="2"/>
        </w:numPr>
        <w:spacing w:after="100" w:line="276"/>
      </w:pPr>
      <w:r>
        <w:rPr>
          <w:rFonts w:ascii="Arial" w:cs="Arial" w:eastAsia="Arial" w:hAnsi="Arial"/>
          <w:b/>
          <w:bCs/>
          <w:sz w:val="21"/>
          <w:szCs w:val="21"/>
        </w:rPr>
        <w:t xml:space="preserve">Temporal data: </w:t>
      </w:r>
      <w:r>
        <w:rPr>
          <w:rFonts w:ascii="Arial" w:cs="Arial" w:eastAsia="Arial" w:hAnsi="Arial"/>
          <w:sz w:val="21"/>
          <w:szCs w:val="21"/>
        </w:rPr>
        <w:t xml:space="preserve">The full time series of all of the above. The Engine operates on trajectories, not snapshots.</w:t>
      </w:r>
    </w:p>
    <w:p>
      <w:pPr>
        <w:pStyle w:val="Heading2"/>
        <w:spacing w:after="160" w:before="280"/>
      </w:pPr>
      <w:r>
        <w:rPr>
          <w:rFonts w:ascii="Arial" w:cs="Arial" w:eastAsia="Arial" w:hAnsi="Arial"/>
          <w:b/>
          <w:bCs/>
          <w:color w:val="2E75B6"/>
          <w:sz w:val="26"/>
          <w:szCs w:val="26"/>
        </w:rPr>
        <w:t xml:space="preserve">2.3 What It Produces</w:t>
      </w:r>
    </w:p>
    <w:p>
      <w:pPr>
        <w:spacing w:after="160" w:line="276"/>
      </w:pPr>
      <w:r>
        <w:rPr>
          <w:rFonts w:ascii="Arial" w:cs="Arial" w:eastAsia="Arial" w:hAnsi="Arial"/>
          <w:sz w:val="21"/>
          <w:szCs w:val="21"/>
        </w:rPr>
        <w:t xml:space="preserve">The World Engine produces three categories of output, all published to the intelligence registry:</w:t>
      </w:r>
    </w:p>
    <w:p>
      <w:pPr>
        <w:spacing w:after="120" w:before="200"/>
      </w:pPr>
      <w:r>
        <w:rPr>
          <w:rFonts w:ascii="Arial" w:cs="Arial" w:eastAsia="Arial" w:hAnsi="Arial"/>
          <w:b/>
          <w:bCs/>
          <w:color w:val="1B3A4B"/>
          <w:sz w:val="22"/>
          <w:szCs w:val="22"/>
        </w:rPr>
        <w:t xml:space="preserve">Discovered Relationships</w:t>
      </w:r>
    </w:p>
    <w:p>
      <w:pPr>
        <w:spacing w:after="160" w:line="276"/>
      </w:pPr>
      <w:r>
        <w:rPr>
          <w:rFonts w:ascii="Arial" w:cs="Arial" w:eastAsia="Arial" w:hAnsi="Arial"/>
          <w:sz w:val="21"/>
          <w:szCs w:val="21"/>
        </w:rPr>
        <w:t xml:space="preserve">Directional causal assertions between signal features, signal groups, derivative values, or assessment dimensions. Each relationship includes: the source and target variables, the direction and lag, the statistical evidence (correlation coefficient, Granger causality F-statistic, effect size), the population it was discovered in, and its current lifecycle state.</w:t>
      </w:r>
    </w:p>
    <w:p>
      <w:pPr>
        <w:spacing w:after="120" w:before="200"/>
      </w:pPr>
      <w:r>
        <w:rPr>
          <w:rFonts w:ascii="Arial" w:cs="Arial" w:eastAsia="Arial" w:hAnsi="Arial"/>
          <w:b/>
          <w:bCs/>
          <w:color w:val="1B3A4B"/>
          <w:sz w:val="22"/>
          <w:szCs w:val="22"/>
        </w:rPr>
        <w:t xml:space="preserve">Consistency Intelligence</w:t>
      </w:r>
    </w:p>
    <w:p>
      <w:pPr>
        <w:spacing w:after="160" w:line="276"/>
      </w:pPr>
      <w:r>
        <w:rPr>
          <w:rFonts w:ascii="Arial" w:cs="Arial" w:eastAsia="Arial" w:hAnsi="Arial"/>
          <w:sz w:val="21"/>
          <w:szCs w:val="21"/>
        </w:rPr>
        <w:t xml:space="preserve">Cross-signal and cross-layer consistency metrics for the entire assessed population. This includes: which signal pairs show expected agreement, which show unexpected divergence, how consistency varies by coverage, entity type, industry, and geography. This is the population-level equivalent of an individual assessment’s confidence score.</w:t>
      </w:r>
    </w:p>
    <w:p>
      <w:pPr>
        <w:spacing w:after="120" w:before="200"/>
      </w:pPr>
      <w:r>
        <w:rPr>
          <w:rFonts w:ascii="Arial" w:cs="Arial" w:eastAsia="Arial" w:hAnsi="Arial"/>
          <w:b/>
          <w:bCs/>
          <w:color w:val="1B3A4B"/>
          <w:sz w:val="22"/>
          <w:szCs w:val="22"/>
        </w:rPr>
        <w:t xml:space="preserve">Drift Alerts</w:t>
      </w:r>
    </w:p>
    <w:p>
      <w:pPr>
        <w:spacing w:after="160" w:line="276"/>
      </w:pPr>
      <w:r>
        <w:rPr>
          <w:rFonts w:ascii="Arial" w:cs="Arial" w:eastAsia="Arial" w:hAnsi="Arial"/>
          <w:sz w:val="21"/>
          <w:szCs w:val="21"/>
        </w:rPr>
        <w:t xml:space="preserve">System-level detection of structural changes in the signal landscape. If the relationship between two signals that has been stable for 18 months suddenly shifts, the Engine detects this and publishes an alert. This could indicate: a genuine change in the risk environment, a data source degradation, or a signal that has become gameable.</w:t>
      </w:r>
    </w:p>
    <w:p>
      <w:r>
        <w:br w:type="page"/>
      </w:r>
    </w:p>
    <w:p>
      <w:pPr>
        <w:pStyle w:val="Heading1"/>
        <w:spacing w:after="200" w:before="360"/>
      </w:pPr>
      <w:r>
        <w:rPr>
          <w:rFonts w:ascii="Arial" w:cs="Arial" w:eastAsia="Arial" w:hAnsi="Arial"/>
          <w:b/>
          <w:bCs/>
          <w:color w:val="1B3A4B"/>
          <w:sz w:val="32"/>
          <w:szCs w:val="32"/>
        </w:rPr>
        <w:t xml:space="preserve">3. The Autonomous Process</w:t>
      </w:r>
    </w:p>
    <w:p>
      <w:pPr>
        <w:spacing w:after="160" w:line="276"/>
      </w:pPr>
      <w:r>
        <w:rPr>
          <w:rFonts w:ascii="Arial" w:cs="Arial" w:eastAsia="Arial" w:hAnsi="Arial"/>
          <w:sz w:val="21"/>
          <w:szCs w:val="21"/>
        </w:rPr>
        <w:t xml:space="preserve">The World Engine operates as a continuous, unsupervised process. It does not wait for human instruction. It runs its discovery, validation, and lifecycle management cycles automatically, calibrated only by the volume and quality of the data available to it.</w:t>
      </w:r>
    </w:p>
    <w:p>
      <w:pPr>
        <w:pStyle w:val="Heading2"/>
        <w:spacing w:after="160" w:before="280"/>
      </w:pPr>
      <w:r>
        <w:rPr>
          <w:rFonts w:ascii="Arial" w:cs="Arial" w:eastAsia="Arial" w:hAnsi="Arial"/>
          <w:b/>
          <w:bCs/>
          <w:color w:val="2E75B6"/>
          <w:sz w:val="26"/>
          <w:szCs w:val="26"/>
        </w:rPr>
        <w:t xml:space="preserve">3.1 Discovery</w:t>
      </w:r>
    </w:p>
    <w:p>
      <w:pPr>
        <w:spacing w:after="160" w:line="276"/>
      </w:pPr>
      <w:r>
        <w:rPr>
          <w:rFonts w:ascii="Arial" w:cs="Arial" w:eastAsia="Arial" w:hAnsi="Arial"/>
          <w:sz w:val="21"/>
          <w:szCs w:val="21"/>
        </w:rPr>
        <w:t xml:space="preserve">The discovery process mines the assessment database for cross-signal relationships that were not encoded in any coverage configuration. It operates in three stages:</w:t>
      </w:r>
    </w:p>
    <w:p>
      <w:pPr>
        <w:spacing w:after="120" w:before="200"/>
      </w:pPr>
      <w:r>
        <w:rPr>
          <w:rFonts w:ascii="Arial" w:cs="Arial" w:eastAsia="Arial" w:hAnsi="Arial"/>
          <w:b/>
          <w:bCs/>
          <w:color w:val="1B3A4B"/>
          <w:sz w:val="22"/>
          <w:szCs w:val="22"/>
        </w:rPr>
        <w:t xml:space="preserve">Stage 1: Correlation Scan</w:t>
      </w:r>
    </w:p>
    <w:p>
      <w:pPr>
        <w:spacing w:after="160" w:line="276"/>
      </w:pPr>
      <w:r>
        <w:rPr>
          <w:rFonts w:ascii="Arial" w:cs="Arial" w:eastAsia="Arial" w:hAnsi="Arial"/>
          <w:sz w:val="21"/>
          <w:szCs w:val="21"/>
        </w:rPr>
        <w:t xml:space="preserve">For every pair of signal features across the entire assessed population, compute rank correlation (Spearman’s rho). This is robust to non-linear relationships and does not assume normality. The scan runs across all entities that have been assessed at least twice (to provide temporal data), and produces a correlation matrix filtered to statistically significant results (|rho| &gt; 0.3, p &lt; 0.01).</w:t>
      </w:r>
    </w:p>
    <w:p>
      <w:pPr>
        <w:spacing w:after="160" w:line="276"/>
      </w:pPr>
      <w:r>
        <w:rPr>
          <w:rFonts w:ascii="Arial" w:cs="Arial" w:eastAsia="Arial" w:hAnsi="Arial"/>
          <w:sz w:val="21"/>
          <w:szCs w:val="21"/>
        </w:rPr>
        <w:t xml:space="preserve">Critically, the scan is coverage-agnostic. It examines relationships between signals that may belong to different coverage configurations. A cyber signal and a D&amp;O signal that correlate across entities assessed for both coverages is exactly the kind of cross-coverage insight that no single coverage config would ever encode.</w:t>
      </w:r>
    </w:p>
    <w:p>
      <w:pPr>
        <w:spacing w:after="120" w:before="200"/>
      </w:pPr>
      <w:r>
        <w:rPr>
          <w:rFonts w:ascii="Arial" w:cs="Arial" w:eastAsia="Arial" w:hAnsi="Arial"/>
          <w:b/>
          <w:bCs/>
          <w:color w:val="1B3A4B"/>
          <w:sz w:val="22"/>
          <w:szCs w:val="22"/>
        </w:rPr>
        <w:t xml:space="preserve">Stage 2: Causal Direction</w:t>
      </w:r>
    </w:p>
    <w:p>
      <w:pPr>
        <w:spacing w:after="160" w:line="276"/>
      </w:pPr>
      <w:r>
        <w:rPr>
          <w:rFonts w:ascii="Arial" w:cs="Arial" w:eastAsia="Arial" w:hAnsi="Arial"/>
          <w:sz w:val="21"/>
          <w:szCs w:val="21"/>
        </w:rPr>
        <w:t xml:space="preserve">For every significant correlation identified in Stage 1, determine temporal direction using Granger causality testing. This asks: does knowing the past values of Signal A improve the prediction of Signal B, beyond what Signal B’s own past values provide? If yes, A Granger-causes B. The test is applied in both directions, and the result can be: A causes B, B causes A, bidirectional, or no causal direction (contemporaneous correlation only).</w:t>
      </w:r>
    </w:p>
    <w:p>
      <w:pPr>
        <w:spacing w:after="120" w:before="200"/>
      </w:pPr>
      <w:r>
        <w:rPr>
          <w:rFonts w:ascii="Arial" w:cs="Arial" w:eastAsia="Arial" w:hAnsi="Arial"/>
          <w:b/>
          <w:bCs/>
          <w:color w:val="1B3A4B"/>
          <w:sz w:val="22"/>
          <w:szCs w:val="22"/>
        </w:rPr>
        <w:t xml:space="preserve">Stage 3: Confound Elimination</w:t>
      </w:r>
    </w:p>
    <w:p>
      <w:pPr>
        <w:spacing w:after="160" w:line="276"/>
      </w:pPr>
      <w:r>
        <w:rPr>
          <w:rFonts w:ascii="Arial" w:cs="Arial" w:eastAsia="Arial" w:hAnsi="Arial"/>
          <w:sz w:val="21"/>
          <w:szCs w:val="21"/>
        </w:rPr>
        <w:t xml:space="preserve">Every candidate relationship is tested against obvious confounders: entity size, industry classification, geographic region, and assessment vintage. Partial correlation analysis removes spurious relationships that are merely artefacts of a shared confounder. For example, both security posture and governance transparency might improve with company size; the correlation between them may be entirely explained by the size confound. The Engine strips these out.</w:t>
      </w:r>
    </w:p>
    <w:p>
      <w:pPr>
        <w:pStyle w:val="Heading2"/>
        <w:spacing w:after="160" w:before="280"/>
      </w:pPr>
      <w:r>
        <w:rPr>
          <w:rFonts w:ascii="Arial" w:cs="Arial" w:eastAsia="Arial" w:hAnsi="Arial"/>
          <w:b/>
          <w:bCs/>
          <w:color w:val="2E75B6"/>
          <w:sz w:val="26"/>
          <w:szCs w:val="26"/>
        </w:rPr>
        <w:t xml:space="preserve">3.2 Validation</w:t>
      </w:r>
    </w:p>
    <w:p>
      <w:pPr>
        <w:spacing w:after="160" w:line="276"/>
      </w:pPr>
      <w:r>
        <w:rPr>
          <w:rFonts w:ascii="Arial" w:cs="Arial" w:eastAsia="Arial" w:hAnsi="Arial"/>
          <w:sz w:val="21"/>
          <w:szCs w:val="21"/>
        </w:rPr>
        <w:t xml:space="preserve">Every relationship that survives discovery enters a validation pipeline. This is not a human review — it is an automated statistical gatekeeping process.</w:t>
      </w:r>
    </w:p>
    <w:p>
      <w:pPr>
        <w:spacing w:after="120" w:before="200"/>
      </w:pPr>
      <w:r>
        <w:rPr>
          <w:rFonts w:ascii="Arial" w:cs="Arial" w:eastAsia="Arial" w:hAnsi="Arial"/>
          <w:b/>
          <w:bCs/>
          <w:color w:val="1B3A4B"/>
          <w:sz w:val="22"/>
          <w:szCs w:val="22"/>
        </w:rPr>
        <w:t xml:space="preserve">Holdout Testing</w:t>
      </w:r>
    </w:p>
    <w:p>
      <w:pPr>
        <w:spacing w:after="160" w:line="276"/>
      </w:pPr>
      <w:r>
        <w:rPr>
          <w:rFonts w:ascii="Arial" w:cs="Arial" w:eastAsia="Arial" w:hAnsi="Arial"/>
          <w:sz w:val="21"/>
          <w:szCs w:val="21"/>
        </w:rPr>
        <w:t xml:space="preserve">The assessed population is randomly split 70/30. The relationship must replicate in the holdout set with |rho| &gt; 0.2 and p &lt; 0.05 (intentionally looser thresholds than discovery, to test generalisability not just significance).</w:t>
      </w:r>
    </w:p>
    <w:p>
      <w:pPr>
        <w:spacing w:after="120" w:before="200"/>
      </w:pPr>
      <w:r>
        <w:rPr>
          <w:rFonts w:ascii="Arial" w:cs="Arial" w:eastAsia="Arial" w:hAnsi="Arial"/>
          <w:b/>
          <w:bCs/>
          <w:color w:val="1B3A4B"/>
          <w:sz w:val="22"/>
          <w:szCs w:val="22"/>
        </w:rPr>
        <w:t xml:space="preserve">Temporal Stability</w:t>
      </w:r>
    </w:p>
    <w:p>
      <w:pPr>
        <w:spacing w:after="160" w:line="276"/>
      </w:pPr>
      <w:r>
        <w:rPr>
          <w:rFonts w:ascii="Arial" w:cs="Arial" w:eastAsia="Arial" w:hAnsi="Arial"/>
          <w:sz w:val="21"/>
          <w:szCs w:val="21"/>
        </w:rPr>
        <w:t xml:space="preserve">The relationship’s correlation coefficient is tracked over a rolling window. A relationship that appeared in month 6 but vanished by month 9 is discarded. The minimum stability requirement is: the relationship must persist across at least three consecutive observation windows (the window size depends on assessment volume, defaulting to monthly).</w:t>
      </w:r>
    </w:p>
    <w:p>
      <w:pPr>
        <w:spacing w:after="120" w:before="200"/>
      </w:pPr>
      <w:r>
        <w:rPr>
          <w:rFonts w:ascii="Arial" w:cs="Arial" w:eastAsia="Arial" w:hAnsi="Arial"/>
          <w:b/>
          <w:bCs/>
          <w:color w:val="1B3A4B"/>
          <w:sz w:val="22"/>
          <w:szCs w:val="22"/>
        </w:rPr>
        <w:t xml:space="preserve">Out-of-Sample Prediction</w:t>
      </w:r>
    </w:p>
    <w:p>
      <w:pPr>
        <w:spacing w:after="160" w:line="276"/>
      </w:pPr>
      <w:r>
        <w:rPr>
          <w:rFonts w:ascii="Arial" w:cs="Arial" w:eastAsia="Arial" w:hAnsi="Arial"/>
          <w:sz w:val="21"/>
          <w:szCs w:val="21"/>
        </w:rPr>
        <w:t xml:space="preserve">The strongest validation is predictive power. If the relationship claims that Signal A’s deterioration precedes Signal B’s deterioration with a 6-month lag, then the Engine tracks entities where A has recently deteriorated and checks whether B follows. The hit rate against the expected lag window is the relationship’s predictive validation score.</w:t>
      </w:r>
    </w:p>
    <w:p>
      <w:pPr>
        <w:pStyle w:val="Heading2"/>
        <w:spacing w:after="160" w:before="280"/>
      </w:pPr>
      <w:r>
        <w:rPr>
          <w:rFonts w:ascii="Arial" w:cs="Arial" w:eastAsia="Arial" w:hAnsi="Arial"/>
          <w:b/>
          <w:bCs/>
          <w:color w:val="2E75B6"/>
          <w:sz w:val="26"/>
          <w:szCs w:val="26"/>
        </w:rPr>
        <w:t xml:space="preserve">3.3 Lifecycle Management</w:t>
      </w:r>
    </w:p>
    <w:p>
      <w:pPr>
        <w:spacing w:after="160" w:line="276"/>
      </w:pPr>
      <w:r>
        <w:rPr>
          <w:rFonts w:ascii="Arial" w:cs="Arial" w:eastAsia="Arial" w:hAnsi="Arial"/>
          <w:sz w:val="21"/>
          <w:szCs w:val="21"/>
        </w:rPr>
        <w:t xml:space="preserve">Every discovered relationship progresses through an autonomous lifecycle. There is no human promotion gate. The algorithms govern the entire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800"/>
        <w:gridCol w:w="1760"/>
      </w:tblGrid>
      <w:tr>
        <w:tc>
          <w:tcPr>
            <w:tcW w:type="dxa" w:w="1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Influence</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Entry Criteria</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c>
          <w:tcPr>
            <w:tcW w:type="dxa" w:w="1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Typical Duration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Candidate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Zero. Observation only. Logged in registry.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Survives discovery (correlation + Granger + confound)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Passes holdout + temporal stability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3–6 months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Provisional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Contributes to consistency scoring. Does not affect pricing.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Holdout validated. Stable across 3+ windows.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Out-of-sample prediction score &gt; threshold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6–12 months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influence. Published to intelligence registry with weight.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Predictive validation confirmed. Effect size meaningful.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Degradation below threshold triggers demotion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Indefinite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Deprecated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Zero. Retained for audit. May be re-promoted if relationship returns.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Predictive power degraded below threshold for 3+ windows.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Permanent unless re-discovered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N/A</w:t>
            </w:r>
          </w:p>
        </w:tc>
      </w:tr>
    </w:tbl>
    <w:p>
      <w:pPr>
        <w:spacing w:after="80"/>
      </w:pPr>
    </w:p>
    <w:p>
      <w:pPr>
        <w:spacing w:after="160" w:line="276"/>
      </w:pPr>
      <w:r>
        <w:rPr>
          <w:rFonts w:ascii="Arial" w:cs="Arial" w:eastAsia="Arial" w:hAnsi="Arial"/>
          <w:i/>
          <w:iCs/>
          <w:sz w:val="21"/>
          <w:szCs w:val="21"/>
        </w:rPr>
        <w:t xml:space="preserve">Key principle: </w:t>
      </w:r>
      <w:r>
        <w:rPr>
          <w:rFonts w:ascii="Arial" w:cs="Arial" w:eastAsia="Arial" w:hAnsi="Arial"/>
          <w:sz w:val="21"/>
          <w:szCs w:val="21"/>
        </w:rPr>
        <w:t xml:space="preserve">The lifecycle is entirely algorithmic. Promotion, demotion, and deprecation happen without human authorisation. The audit trail records every transition with its statistical evidence, enabling retrospective review but not prospective gatekeeping.</w:t>
      </w:r>
    </w:p>
    <w:p>
      <w:r>
        <w:br w:type="page"/>
      </w:r>
    </w:p>
    <w:p>
      <w:pPr>
        <w:pStyle w:val="Heading1"/>
        <w:spacing w:after="200" w:before="360"/>
      </w:pPr>
      <w:r>
        <w:rPr>
          <w:rFonts w:ascii="Arial" w:cs="Arial" w:eastAsia="Arial" w:hAnsi="Arial"/>
          <w:b/>
          <w:bCs/>
          <w:color w:val="1B3A4B"/>
          <w:sz w:val="32"/>
          <w:szCs w:val="32"/>
        </w:rPr>
        <w:t xml:space="preserve">4. How Discoveries Feed Back into DSI</w:t>
      </w:r>
    </w:p>
    <w:p>
      <w:pPr>
        <w:spacing w:after="160" w:line="276"/>
      </w:pPr>
      <w:r>
        <w:rPr>
          <w:rFonts w:ascii="Arial" w:cs="Arial" w:eastAsia="Arial" w:hAnsi="Arial"/>
          <w:sz w:val="21"/>
          <w:szCs w:val="21"/>
        </w:rPr>
        <w:t xml:space="preserve">The World Engine’s discoveries are published, not injected. The distinction matters. The Engine does not modify coverage configs or entity YAMLs. It publishes to an intelligence registry that other systems can query.</w:t>
      </w:r>
    </w:p>
    <w:p>
      <w:pPr>
        <w:pStyle w:val="Heading2"/>
        <w:spacing w:after="160" w:before="280"/>
      </w:pPr>
      <w:r>
        <w:rPr>
          <w:rFonts w:ascii="Arial" w:cs="Arial" w:eastAsia="Arial" w:hAnsi="Arial"/>
          <w:b/>
          <w:bCs/>
          <w:color w:val="2E75B6"/>
          <w:sz w:val="26"/>
          <w:szCs w:val="26"/>
        </w:rPr>
        <w:t xml:space="preserve">4.1 The Intelligence Registry</w:t>
      </w:r>
    </w:p>
    <w:p>
      <w:pPr>
        <w:spacing w:after="160" w:line="276"/>
      </w:pPr>
      <w:r>
        <w:rPr>
          <w:rFonts w:ascii="Arial" w:cs="Arial" w:eastAsia="Arial" w:hAnsi="Arial"/>
          <w:sz w:val="21"/>
          <w:szCs w:val="21"/>
        </w:rPr>
        <w:t xml:space="preserve">A dedicated data store (separate from the assessment database) containing all active, provisional, and deprecated relationships. Each entry includes the full statistical provenance, current lifecycle state, and a computed influence weight reflecting the Engine’s confidence in the relationship.</w:t>
      </w:r>
    </w:p>
    <w:p>
      <w:pPr>
        <w:spacing w:after="160" w:line="276"/>
      </w:pPr>
      <w:r>
        <w:rPr>
          <w:rFonts w:ascii="Arial" w:cs="Arial" w:eastAsia="Arial" w:hAnsi="Arial"/>
          <w:sz w:val="21"/>
          <w:szCs w:val="21"/>
        </w:rPr>
        <w:t xml:space="preserve">The registry exposes a read-only API. Any DSI component can query it. None can write to it except the World Engine itself.</w:t>
      </w:r>
    </w:p>
    <w:p>
      <w:pPr>
        <w:pStyle w:val="Heading2"/>
        <w:spacing w:after="160" w:before="280"/>
      </w:pPr>
      <w:r>
        <w:rPr>
          <w:rFonts w:ascii="Arial" w:cs="Arial" w:eastAsia="Arial" w:hAnsi="Arial"/>
          <w:b/>
          <w:bCs/>
          <w:color w:val="2E75B6"/>
          <w:sz w:val="26"/>
          <w:szCs w:val="26"/>
        </w:rPr>
        <w:t xml:space="preserve">4.2 Consumption by Coverage Configs</w:t>
      </w:r>
    </w:p>
    <w:p>
      <w:pPr>
        <w:spacing w:after="160" w:line="276"/>
      </w:pPr>
      <w:r>
        <w:rPr>
          <w:rFonts w:ascii="Arial" w:cs="Arial" w:eastAsia="Arial" w:hAnsi="Arial"/>
          <w:sz w:val="21"/>
          <w:szCs w:val="21"/>
        </w:rPr>
        <w:t xml:space="preserve">The actuarial/product team responsible for coverage configuration can query the registry to inform their decisions. If the Engine has discovered that a specific governance signal Granger-causes security posture degradation with a 9-month lag, the product team may choose to increase the governance signal’s weight in their next config version. But they make that decision through the normal config change process with its own governance. The Engine informs; the team decides.</w:t>
      </w:r>
    </w:p>
    <w:p>
      <w:pPr>
        <w:spacing w:after="160" w:line="276"/>
      </w:pPr>
      <w:r>
        <w:rPr>
          <w:rFonts w:ascii="Arial" w:cs="Arial" w:eastAsia="Arial" w:hAnsi="Arial"/>
          <w:sz w:val="21"/>
          <w:szCs w:val="21"/>
        </w:rPr>
        <w:t xml:space="preserve">Over time, as confidence in the Engine grows, this consumption could become automated: the Engine publishes a recommended weight adjustment, and the config management system applies it automatically. But that is an architectural choice for the future, not a launch requirement.</w:t>
      </w:r>
    </w:p>
    <w:p>
      <w:pPr>
        <w:pStyle w:val="Heading2"/>
        <w:spacing w:after="160" w:before="280"/>
      </w:pPr>
      <w:r>
        <w:rPr>
          <w:rFonts w:ascii="Arial" w:cs="Arial" w:eastAsia="Arial" w:hAnsi="Arial"/>
          <w:b/>
          <w:bCs/>
          <w:color w:val="2E75B6"/>
          <w:sz w:val="26"/>
          <w:szCs w:val="26"/>
        </w:rPr>
        <w:t xml:space="preserve">4.3 Consumption by Commercial Entities</w:t>
      </w:r>
    </w:p>
    <w:p>
      <w:pPr>
        <w:spacing w:after="160" w:line="276"/>
      </w:pPr>
      <w:r>
        <w:rPr>
          <w:rFonts w:ascii="Arial" w:cs="Arial" w:eastAsia="Arial" w:hAnsi="Arial"/>
          <w:sz w:val="21"/>
          <w:szCs w:val="21"/>
        </w:rPr>
        <w:t xml:space="preserve">The distribution/underwriting management team can query the registry to inform appetite decisions. If the Engine detects that entities in a specific industry cohort are showing correlated drift across multiple signal categories, this may indicate an emerging systemic risk that appetite constraints should account for.</w:t>
      </w:r>
    </w:p>
    <w:p>
      <w:pPr>
        <w:pStyle w:val="Heading2"/>
        <w:spacing w:after="160" w:before="280"/>
      </w:pPr>
      <w:r>
        <w:rPr>
          <w:rFonts w:ascii="Arial" w:cs="Arial" w:eastAsia="Arial" w:hAnsi="Arial"/>
          <w:b/>
          <w:bCs/>
          <w:color w:val="2E75B6"/>
          <w:sz w:val="26"/>
          <w:szCs w:val="26"/>
        </w:rPr>
        <w:t xml:space="preserve">4.4 Consumption by the Graph Runtime</w:t>
      </w:r>
    </w:p>
    <w:p>
      <w:pPr>
        <w:spacing w:after="160" w:line="276"/>
      </w:pPr>
      <w:r>
        <w:rPr>
          <w:rFonts w:ascii="Arial" w:cs="Arial" w:eastAsia="Arial" w:hAnsi="Arial"/>
          <w:sz w:val="21"/>
          <w:szCs w:val="21"/>
        </w:rPr>
        <w:t xml:space="preserve">This is the most powerful integration. The Organisational Graph Runtime can use active World Engine relationships to add inferred edges to entity graphs. If the Engine has established that Signal Category A’s entropy predicts Signal Category B’s drift, the graph can represent this as an inferred causal edge, enabling the simulation capabilities described in the visionpaper: counterfactual simulation, portfolio optimisation, and closed-loop intervention.</w:t>
      </w:r>
    </w:p>
    <w:p>
      <w:pPr>
        <w:pStyle w:val="Heading2"/>
        <w:spacing w:after="160" w:before="280"/>
      </w:pPr>
      <w:r>
        <w:rPr>
          <w:rFonts w:ascii="Arial" w:cs="Arial" w:eastAsia="Arial" w:hAnsi="Arial"/>
          <w:b/>
          <w:bCs/>
          <w:color w:val="2E75B6"/>
          <w:sz w:val="26"/>
          <w:szCs w:val="26"/>
        </w:rPr>
        <w:t xml:space="preserve">4.5 Population-Level Outputs</w:t>
      </w:r>
    </w:p>
    <w:p>
      <w:pPr>
        <w:spacing w:after="160" w:line="276"/>
      </w:pPr>
      <w:r>
        <w:rPr>
          <w:rFonts w:ascii="Arial" w:cs="Arial" w:eastAsia="Arial" w:hAnsi="Arial"/>
          <w:sz w:val="21"/>
          <w:szCs w:val="21"/>
        </w:rPr>
        <w:t xml:space="preserve">Beyond individual relationships, the World Engine produces population-level intelligence that has no equivalent in the lower layers:</w:t>
      </w:r>
    </w:p>
    <w:p>
      <w:pPr>
        <w:pStyle w:val="ListParagraph"/>
        <w:numPr>
          <w:ilvl w:val="0"/>
          <w:numId w:val="2"/>
        </w:numPr>
        <w:spacing w:after="100" w:line="276"/>
      </w:pPr>
      <w:r>
        <w:rPr>
          <w:rFonts w:ascii="Arial" w:cs="Arial" w:eastAsia="Arial" w:hAnsi="Arial"/>
          <w:b/>
          <w:bCs/>
          <w:sz w:val="21"/>
          <w:szCs w:val="21"/>
        </w:rPr>
        <w:t xml:space="preserve">Cohort evolution: </w:t>
      </w:r>
      <w:r>
        <w:rPr>
          <w:rFonts w:ascii="Arial" w:cs="Arial" w:eastAsia="Arial" w:hAnsi="Arial"/>
          <w:sz w:val="21"/>
          <w:szCs w:val="21"/>
        </w:rPr>
        <w:t xml:space="preserve">How are signal-derived peer groups changing over time? Are certain cohorts converging or diverging?</w:t>
      </w:r>
    </w:p>
    <w:p>
      <w:pPr>
        <w:pStyle w:val="ListParagraph"/>
        <w:numPr>
          <w:ilvl w:val="0"/>
          <w:numId w:val="2"/>
        </w:numPr>
        <w:spacing w:after="100" w:line="276"/>
      </w:pPr>
      <w:r>
        <w:rPr>
          <w:rFonts w:ascii="Arial" w:cs="Arial" w:eastAsia="Arial" w:hAnsi="Arial"/>
          <w:b/>
          <w:bCs/>
          <w:sz w:val="21"/>
          <w:szCs w:val="21"/>
        </w:rPr>
        <w:t xml:space="preserve">Signal regime detection: </w:t>
      </w:r>
      <w:r>
        <w:rPr>
          <w:rFonts w:ascii="Arial" w:cs="Arial" w:eastAsia="Arial" w:hAnsi="Arial"/>
          <w:sz w:val="21"/>
          <w:szCs w:val="21"/>
        </w:rPr>
        <w:t xml:space="preserve">Has the relationship structure between signals changed? This could indicate a market-wide shift (e.g., post-regulation) that requires config recalibration.</w:t>
      </w:r>
    </w:p>
    <w:p>
      <w:pPr>
        <w:pStyle w:val="ListParagraph"/>
        <w:numPr>
          <w:ilvl w:val="0"/>
          <w:numId w:val="2"/>
        </w:numPr>
        <w:spacing w:after="100" w:line="276"/>
      </w:pPr>
      <w:r>
        <w:rPr>
          <w:rFonts w:ascii="Arial" w:cs="Arial" w:eastAsia="Arial" w:hAnsi="Arial"/>
          <w:b/>
          <w:bCs/>
          <w:sz w:val="21"/>
          <w:szCs w:val="21"/>
        </w:rPr>
        <w:t xml:space="preserve">Predictive horizon estimation: </w:t>
      </w:r>
      <w:r>
        <w:rPr>
          <w:rFonts w:ascii="Arial" w:cs="Arial" w:eastAsia="Arial" w:hAnsi="Arial"/>
          <w:sz w:val="21"/>
          <w:szCs w:val="21"/>
        </w:rPr>
        <w:t xml:space="preserve">How far in advance can the current signal set predict loss events? This informs the appropriate monitoring frequency and the forward-looking claims the commercial materials can make.</w:t>
      </w:r>
    </w:p>
    <w:p>
      <w:pPr>
        <w:pStyle w:val="ListParagraph"/>
        <w:numPr>
          <w:ilvl w:val="0"/>
          <w:numId w:val="2"/>
        </w:numPr>
        <w:spacing w:after="100" w:line="276"/>
      </w:pPr>
      <w:r>
        <w:rPr>
          <w:rFonts w:ascii="Arial" w:cs="Arial" w:eastAsia="Arial" w:hAnsi="Arial"/>
          <w:b/>
          <w:bCs/>
          <w:sz w:val="21"/>
          <w:szCs w:val="21"/>
        </w:rPr>
        <w:t xml:space="preserve">Cross-coverage intelligence: </w:t>
      </w:r>
      <w:r>
        <w:rPr>
          <w:rFonts w:ascii="Arial" w:cs="Arial" w:eastAsia="Arial" w:hAnsi="Arial"/>
          <w:sz w:val="21"/>
          <w:szCs w:val="21"/>
        </w:rPr>
        <w:t xml:space="preserve">Relationships between signals from different coverage lines that no single coverage config would ever discover. This is the unique capability that justifies the World Engine as a separate abstraction layer.</w:t>
      </w:r>
    </w:p>
    <w:p>
      <w:r>
        <w:br w:type="page"/>
      </w:r>
    </w:p>
    <w:p>
      <w:pPr>
        <w:pStyle w:val="Heading1"/>
        <w:spacing w:after="200" w:before="360"/>
      </w:pPr>
      <w:r>
        <w:rPr>
          <w:rFonts w:ascii="Arial" w:cs="Arial" w:eastAsia="Arial" w:hAnsi="Arial"/>
          <w:b/>
          <w:bCs/>
          <w:color w:val="1B3A4B"/>
          <w:sz w:val="32"/>
          <w:szCs w:val="32"/>
        </w:rPr>
        <w:t xml:space="preserve">5. Maturity Model</w:t>
      </w:r>
    </w:p>
    <w:p>
      <w:pPr>
        <w:spacing w:after="160" w:line="276"/>
      </w:pPr>
      <w:r>
        <w:rPr>
          <w:rFonts w:ascii="Arial" w:cs="Arial" w:eastAsia="Arial" w:hAnsi="Arial"/>
          <w:sz w:val="21"/>
          <w:szCs w:val="21"/>
        </w:rPr>
        <w:t xml:space="preserve">The World Engine’s capabilities are a function of population size and time depth. The following model makes this explicit, ensuring commercial claims match operational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200"/>
        <w:gridCol w:w="2000"/>
        <w:gridCol w:w="3660"/>
      </w:tblGrid>
      <w:tr>
        <w:tc>
          <w:tcPr>
            <w:tcW w:type="dxa" w:w="13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Assessed</w:t>
            </w:r>
          </w:p>
        </w:tc>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Engine Capability</w:t>
            </w:r>
          </w:p>
        </w:tc>
        <w:tc>
          <w:tcPr>
            <w:tcW w:type="dxa" w:w="36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Can Be Claimed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Seed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0–6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Consistency scoring only. No discovery.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Cross-validated scoring with internal consistency metrics. Anti-gaming through signal diversity.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Learn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500–5K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6–18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First discoveries. Candidates registered. No active relationships yet.</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Self-calibrating model. Early evidence of emergent cross-signal patterns.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Emerge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5K–50K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18–36 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Active relationships in production. Cross-coverage discoveries.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Autonomous intelligence with validated causal links. Compounding moat.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Simulate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&gt; 50K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36+ mo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Full simulation capability. Causal graph powers counterfactuals.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Predictive world model. Counterfactual simulation. Portfolio optimisation. Homeostasis.</w:t>
            </w:r>
          </w:p>
        </w:tc>
      </w:tr>
    </w:tbl>
    <w:p>
      <w:pPr>
        <w:spacing w:after="80"/>
      </w:pPr>
    </w:p>
    <w:p>
      <w:pPr>
        <w:spacing w:after="160" w:line="276"/>
      </w:pPr>
      <w:r>
        <w:rPr>
          <w:rFonts w:ascii="Arial" w:cs="Arial" w:eastAsia="Arial" w:hAnsi="Arial"/>
          <w:i/>
          <w:iCs/>
          <w:sz w:val="21"/>
          <w:szCs w:val="21"/>
        </w:rPr>
        <w:t xml:space="preserve">Critical principle: </w:t>
      </w:r>
      <w:r>
        <w:rPr>
          <w:rFonts w:ascii="Arial" w:cs="Arial" w:eastAsia="Arial" w:hAnsi="Arial"/>
          <w:sz w:val="21"/>
          <w:szCs w:val="21"/>
        </w:rPr>
        <w:t xml:space="preserve">The World Engine does not need population data to provide value at launch. Consistency scoring (measuring internal agreement across signals and assessment layers) works from the first assessment. Discovery requires population. Simulation requires discovery. Each stage unlocks the next.</w:t>
      </w:r>
    </w:p>
    <w:p>
      <w:r>
        <w:br w:type="page"/>
      </w:r>
    </w:p>
    <w:p>
      <w:pPr>
        <w:pStyle w:val="Heading1"/>
        <w:spacing w:after="200" w:before="360"/>
      </w:pPr>
      <w:r>
        <w:rPr>
          <w:rFonts w:ascii="Arial" w:cs="Arial" w:eastAsia="Arial" w:hAnsi="Arial"/>
          <w:b/>
          <w:bCs/>
          <w:color w:val="1B3A4B"/>
          <w:sz w:val="32"/>
          <w:szCs w:val="32"/>
        </w:rPr>
        <w:t xml:space="preserve">6. Technical Architecture</w:t>
      </w:r>
    </w:p>
    <w:p>
      <w:pPr>
        <w:pStyle w:val="Heading2"/>
        <w:spacing w:after="160" w:before="280"/>
      </w:pPr>
      <w:r>
        <w:rPr>
          <w:rFonts w:ascii="Arial" w:cs="Arial" w:eastAsia="Arial" w:hAnsi="Arial"/>
          <w:b/>
          <w:bCs/>
          <w:color w:val="2E75B6"/>
          <w:sz w:val="26"/>
          <w:szCs w:val="26"/>
        </w:rPr>
        <w:t xml:space="preserve">6.1 Separation from Real-Time Pipeline</w:t>
      </w:r>
    </w:p>
    <w:p>
      <w:pPr>
        <w:spacing w:after="160" w:line="276"/>
      </w:pPr>
      <w:r>
        <w:rPr>
          <w:rFonts w:ascii="Arial" w:cs="Arial" w:eastAsia="Arial" w:hAnsi="Arial"/>
          <w:sz w:val="21"/>
          <w:szCs w:val="21"/>
        </w:rPr>
        <w:t xml:space="preserve">The World Engine is architecturally separate from the real-time pricing pipeline. It does not sit in the hot path. Assessments run at production speed, unaffected by the Engine’s processing. The Engine operates as an offline batch and streaming system that reads from the assessment database and writes to the intelligence registry.</w:t>
      </w:r>
    </w:p>
    <w:p>
      <w:pPr>
        <w:pStyle w:val="Heading2"/>
        <w:spacing w:after="160" w:before="280"/>
      </w:pPr>
      <w:r>
        <w:rPr>
          <w:rFonts w:ascii="Arial" w:cs="Arial" w:eastAsia="Arial" w:hAnsi="Arial"/>
          <w:b/>
          <w:bCs/>
          <w:color w:val="2E75B6"/>
          <w:sz w:val="26"/>
          <w:szCs w:val="26"/>
        </w:rPr>
        <w:t xml:space="preserve">6.2 Component Map</w:t>
      </w:r>
    </w:p>
    <w:p>
      <w:pPr>
        <w:spacing w:after="160" w:line="276"/>
      </w:pPr>
      <w:r>
        <w:rPr>
          <w:rFonts w:ascii="Arial" w:cs="Arial" w:eastAsia="Arial" w:hAnsi="Arial"/>
          <w:sz w:val="21"/>
          <w:szCs w:val="21"/>
        </w:rPr>
        <w:t xml:space="preserve">The World Engine comprises five autonomous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Subsystem</w:t>
            </w:r>
          </w:p>
        </w:tc>
        <w:tc>
          <w:tcPr>
            <w:tcW w:type="dxa" w:w="3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6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Correlation Scanner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Pairwise rank correlation across all signal features. Coverage-agnostic. Produces candidate matrix.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 weekly (or when assessment count exceeds threshold since last run)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Causal Inferencer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Granger causality, confound elimination, direction assignment for candidates from Scanner.</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Batch: triggered after each Scanner run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Validation Engine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Holdout testing, temporal stability tracking, out-of-sample prediction scoring.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Continuous: rolling windows, updated as new assessments arrive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b/>
                <w:bCs/>
                <w:sz w:val="21"/>
                <w:szCs w:val="21"/>
              </w:rPr>
              <w:t xml:space="preserve">Lifecycle Manager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Autonomous state transitions. Promotion, demotion, deprecation based on validation metrics.</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sz w:val="20"/>
                <w:szCs w:val="20"/>
              </w:rPr>
              <w:t xml:space="preserve">Event-driven: triggers on validation metric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1"/>
                <w:szCs w:val="21"/>
              </w:rPr>
              <w:t xml:space="preserve">Consistency Scorer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Population-level consistency metrics. Signal-pair agreement, cross-layer divergence, regime detection.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 daily (or per-assessment as an inline enrichment)</w:t>
            </w:r>
          </w:p>
        </w:tc>
      </w:tr>
    </w:tbl>
    <w:p>
      <w:pPr>
        <w:spacing w:after="80"/>
      </w:pPr>
    </w:p>
    <w:p>
      <w:pPr>
        <w:pStyle w:val="Heading2"/>
        <w:spacing w:after="160" w:before="280"/>
      </w:pPr>
      <w:r>
        <w:rPr>
          <w:rFonts w:ascii="Arial" w:cs="Arial" w:eastAsia="Arial" w:hAnsi="Arial"/>
          <w:b/>
          <w:bCs/>
          <w:color w:val="2E75B6"/>
          <w:sz w:val="26"/>
          <w:szCs w:val="26"/>
        </w:rPr>
        <w:t xml:space="preserve">6.3 Data Flow</w:t>
      </w:r>
    </w:p>
    <w:p>
      <w:pPr>
        <w:spacing w:after="160" w:line="276"/>
      </w:pPr>
      <w:r>
        <w:rPr>
          <w:rFonts w:ascii="Arial" w:cs="Arial" w:eastAsia="Arial" w:hAnsi="Arial"/>
          <w:sz w:val="21"/>
          <w:szCs w:val="21"/>
        </w:rPr>
        <w:t xml:space="preserve">The data flow is strictly unidirectional: assessment database → World Engine subsystems → intelligence registry. The Engine never writes to the assessment database. It never modifies configs. It only writes to its own registry. This ensures that a bug in the Engine cannot corrupt production data or pricing.</w:t>
      </w:r>
    </w:p>
    <w:p>
      <w:pPr>
        <w:pStyle w:val="Heading2"/>
        <w:spacing w:after="160" w:before="280"/>
      </w:pPr>
      <w:r>
        <w:rPr>
          <w:rFonts w:ascii="Arial" w:cs="Arial" w:eastAsia="Arial" w:hAnsi="Arial"/>
          <w:b/>
          <w:bCs/>
          <w:color w:val="2E75B6"/>
          <w:sz w:val="26"/>
          <w:szCs w:val="26"/>
        </w:rPr>
        <w:t xml:space="preserve">6.4 Codebase Location</w:t>
      </w:r>
    </w:p>
    <w:p>
      <w:pPr>
        <w:spacing w:after="160" w:line="276"/>
      </w:pPr>
      <w:r>
        <w:rPr>
          <w:rFonts w:ascii="Arial" w:cs="Arial" w:eastAsia="Arial" w:hAnsi="Arial"/>
          <w:sz w:val="21"/>
          <w:szCs w:val="21"/>
        </w:rPr>
        <w:t xml:space="preserve">The World Engine occupies its own top-level directory, at the same level as signal_architecture, infrastructure, layers, and coverages. It does not nest inside any existing module.</w:t>
      </w:r>
    </w:p>
    <w:p>
      <w:pPr>
        <w:spacing w:after="160" w:line="276"/>
      </w:pPr>
      <w:r>
        <w:rPr>
          <w:rFonts w:ascii="Courier New" w:cs="Courier New" w:eastAsia="Courier New" w:hAnsi="Courier New"/>
          <w:sz w:val="20"/>
          <w:szCs w:val="20"/>
        </w:rPr>
        <w:t xml:space="preserve">world_engine/</w:t>
      </w:r>
      <w:r>
        <w:rPr>
          <w:rFonts w:ascii="Arial" w:cs="Arial" w:eastAsia="Arial" w:hAnsi="Arial"/>
          <w:sz w:val="21"/>
          <w:szCs w:val="21"/>
        </w:rPr>
        <w:t xml:space="preserve"> — top-level directory</w:t>
      </w:r>
    </w:p>
    <w:p>
      <w:pPr>
        <w:pStyle w:val="ListParagraph"/>
        <w:numPr>
          <w:ilvl w:val="0"/>
          <w:numId w:val="2"/>
        </w:numPr>
        <w:spacing w:after="100" w:line="276"/>
      </w:pPr>
      <w:r>
        <w:rPr>
          <w:rFonts w:ascii="Courier New" w:cs="Courier New" w:eastAsia="Courier New" w:hAnsi="Courier New"/>
          <w:sz w:val="20"/>
          <w:szCs w:val="20"/>
        </w:rPr>
        <w:t xml:space="preserve">scanner/</w:t>
      </w:r>
      <w:r>
        <w:rPr>
          <w:rFonts w:ascii="Arial" w:cs="Arial" w:eastAsia="Arial" w:hAnsi="Arial"/>
          <w:sz w:val="21"/>
          <w:szCs w:val="21"/>
        </w:rPr>
        <w:t xml:space="preserve"> — Correlation Scanner</w:t>
      </w:r>
    </w:p>
    <w:p>
      <w:pPr>
        <w:pStyle w:val="ListParagraph"/>
        <w:numPr>
          <w:ilvl w:val="0"/>
          <w:numId w:val="2"/>
        </w:numPr>
        <w:spacing w:after="100" w:line="276"/>
      </w:pPr>
      <w:r>
        <w:rPr>
          <w:rFonts w:ascii="Courier New" w:cs="Courier New" w:eastAsia="Courier New" w:hAnsi="Courier New"/>
          <w:sz w:val="20"/>
          <w:szCs w:val="20"/>
        </w:rPr>
        <w:t xml:space="preserve">inferencer/</w:t>
      </w:r>
      <w:r>
        <w:rPr>
          <w:rFonts w:ascii="Arial" w:cs="Arial" w:eastAsia="Arial" w:hAnsi="Arial"/>
          <w:sz w:val="21"/>
          <w:szCs w:val="21"/>
        </w:rPr>
        <w:t xml:space="preserve"> — Causal Inferencer (Granger, confound control)</w:t>
      </w:r>
    </w:p>
    <w:p>
      <w:pPr>
        <w:pStyle w:val="ListParagraph"/>
        <w:numPr>
          <w:ilvl w:val="0"/>
          <w:numId w:val="2"/>
        </w:numPr>
        <w:spacing w:after="100" w:line="276"/>
      </w:pPr>
      <w:r>
        <w:rPr>
          <w:rFonts w:ascii="Courier New" w:cs="Courier New" w:eastAsia="Courier New" w:hAnsi="Courier New"/>
          <w:sz w:val="20"/>
          <w:szCs w:val="20"/>
        </w:rPr>
        <w:t xml:space="preserve">validator/</w:t>
      </w:r>
      <w:r>
        <w:rPr>
          <w:rFonts w:ascii="Arial" w:cs="Arial" w:eastAsia="Arial" w:hAnsi="Arial"/>
          <w:sz w:val="21"/>
          <w:szCs w:val="21"/>
        </w:rPr>
        <w:t xml:space="preserve"> — Validation Engine (holdout, stability, prediction)</w:t>
      </w:r>
    </w:p>
    <w:p>
      <w:pPr>
        <w:pStyle w:val="ListParagraph"/>
        <w:numPr>
          <w:ilvl w:val="0"/>
          <w:numId w:val="2"/>
        </w:numPr>
        <w:spacing w:after="100" w:line="276"/>
      </w:pPr>
      <w:r>
        <w:rPr>
          <w:rFonts w:ascii="Courier New" w:cs="Courier New" w:eastAsia="Courier New" w:hAnsi="Courier New"/>
          <w:sz w:val="20"/>
          <w:szCs w:val="20"/>
        </w:rPr>
        <w:t xml:space="preserve">lifecycle/</w:t>
      </w:r>
      <w:r>
        <w:rPr>
          <w:rFonts w:ascii="Arial" w:cs="Arial" w:eastAsia="Arial" w:hAnsi="Arial"/>
          <w:sz w:val="21"/>
          <w:szCs w:val="21"/>
        </w:rPr>
        <w:t xml:space="preserve"> — Lifecycle Manager (state machine, transition logic)</w:t>
      </w:r>
    </w:p>
    <w:p>
      <w:pPr>
        <w:pStyle w:val="ListParagraph"/>
        <w:numPr>
          <w:ilvl w:val="0"/>
          <w:numId w:val="2"/>
        </w:numPr>
        <w:spacing w:after="100" w:line="276"/>
      </w:pPr>
      <w:r>
        <w:rPr>
          <w:rFonts w:ascii="Courier New" w:cs="Courier New" w:eastAsia="Courier New" w:hAnsi="Courier New"/>
          <w:sz w:val="20"/>
          <w:szCs w:val="20"/>
        </w:rPr>
        <w:t xml:space="preserve">consistency/</w:t>
      </w:r>
      <w:r>
        <w:rPr>
          <w:rFonts w:ascii="Arial" w:cs="Arial" w:eastAsia="Arial" w:hAnsi="Arial"/>
          <w:sz w:val="21"/>
          <w:szCs w:val="21"/>
        </w:rPr>
        <w:t xml:space="preserve"> — Consistency Scorer</w:t>
      </w:r>
    </w:p>
    <w:p>
      <w:pPr>
        <w:pStyle w:val="ListParagraph"/>
        <w:numPr>
          <w:ilvl w:val="0"/>
          <w:numId w:val="2"/>
        </w:numPr>
        <w:spacing w:after="100" w:line="276"/>
      </w:pPr>
      <w:r>
        <w:rPr>
          <w:rFonts w:ascii="Courier New" w:cs="Courier New" w:eastAsia="Courier New" w:hAnsi="Courier New"/>
          <w:sz w:val="20"/>
          <w:szCs w:val="20"/>
        </w:rPr>
        <w:t xml:space="preserve">registry/</w:t>
      </w:r>
      <w:r>
        <w:rPr>
          <w:rFonts w:ascii="Arial" w:cs="Arial" w:eastAsia="Arial" w:hAnsi="Arial"/>
          <w:sz w:val="21"/>
          <w:szCs w:val="21"/>
        </w:rPr>
        <w:t xml:space="preserve"> — Intelligence Registry (data store, read-only API)</w:t>
      </w:r>
    </w:p>
    <w:p>
      <w:pPr>
        <w:pStyle w:val="ListParagraph"/>
        <w:numPr>
          <w:ilvl w:val="0"/>
          <w:numId w:val="2"/>
        </w:numPr>
        <w:spacing w:after="100" w:line="276"/>
      </w:pPr>
      <w:r>
        <w:rPr>
          <w:rFonts w:ascii="Courier New" w:cs="Courier New" w:eastAsia="Courier New" w:hAnsi="Courier New"/>
          <w:sz w:val="20"/>
          <w:szCs w:val="20"/>
        </w:rPr>
        <w:t xml:space="preserve">types.py</w:t>
      </w:r>
      <w:r>
        <w:rPr>
          <w:rFonts w:ascii="Arial" w:cs="Arial" w:eastAsia="Arial" w:hAnsi="Arial"/>
          <w:sz w:val="21"/>
          <w:szCs w:val="21"/>
        </w:rPr>
        <w:t xml:space="preserve"> — Shared types (Relationship, LifecycleState, ValidationMetrics)</w:t>
      </w:r>
    </w:p>
    <w:p>
      <w:pPr>
        <w:pStyle w:val="ListParagraph"/>
        <w:numPr>
          <w:ilvl w:val="0"/>
          <w:numId w:val="2"/>
        </w:numPr>
        <w:spacing w:after="100" w:line="276"/>
      </w:pPr>
      <w:r>
        <w:rPr>
          <w:rFonts w:ascii="Courier New" w:cs="Courier New" w:eastAsia="Courier New" w:hAnsi="Courier New"/>
          <w:sz w:val="20"/>
          <w:szCs w:val="20"/>
        </w:rPr>
        <w:t xml:space="preserve">scheduler.py</w:t>
      </w:r>
      <w:r>
        <w:rPr>
          <w:rFonts w:ascii="Arial" w:cs="Arial" w:eastAsia="Arial" w:hAnsi="Arial"/>
          <w:sz w:val="21"/>
          <w:szCs w:val="21"/>
        </w:rPr>
        <w:t xml:space="preserve"> — Batch orchestration and cadence management</w:t>
      </w:r>
    </w:p>
    <w:p>
      <w:r>
        <w:br w:type="page"/>
      </w:r>
    </w:p>
    <w:p>
      <w:pPr>
        <w:pStyle w:val="Heading1"/>
        <w:spacing w:after="200" w:before="360"/>
      </w:pPr>
      <w:r>
        <w:rPr>
          <w:rFonts w:ascii="Arial" w:cs="Arial" w:eastAsia="Arial" w:hAnsi="Arial"/>
          <w:b/>
          <w:bCs/>
          <w:color w:val="1B3A4B"/>
          <w:sz w:val="32"/>
          <w:szCs w:val="32"/>
        </w:rPr>
        <w:t xml:space="preserve">7. What This Enables</w:t>
      </w:r>
    </w:p>
    <w:p>
      <w:pPr>
        <w:spacing w:after="160" w:line="276"/>
      </w:pPr>
      <w:r>
        <w:rPr>
          <w:rFonts w:ascii="Arial" w:cs="Arial" w:eastAsia="Arial" w:hAnsi="Arial"/>
          <w:sz w:val="21"/>
          <w:szCs w:val="21"/>
        </w:rPr>
        <w:t xml:space="preserve">The World Engine, at maturity, delivers the three simulation capabilities described in the visionpaper. These are not features of the Engine itself — they are capabilities that become possible because the Engine has populated the causal graph with validated, directional relationships.</w:t>
      </w:r>
    </w:p>
    <w:p>
      <w:pPr>
        <w:pStyle w:val="Heading2"/>
        <w:spacing w:after="160" w:before="280"/>
      </w:pPr>
      <w:r>
        <w:rPr>
          <w:rFonts w:ascii="Arial" w:cs="Arial" w:eastAsia="Arial" w:hAnsi="Arial"/>
          <w:b/>
          <w:bCs/>
          <w:color w:val="2E75B6"/>
          <w:sz w:val="26"/>
          <w:szCs w:val="26"/>
        </w:rPr>
        <w:t xml:space="preserve">7.1 Counterfactual Simulation</w:t>
      </w:r>
    </w:p>
    <w:p>
      <w:pPr>
        <w:spacing w:after="160" w:line="276"/>
      </w:pPr>
      <w:r>
        <w:rPr>
          <w:rFonts w:ascii="Arial" w:cs="Arial" w:eastAsia="Arial" w:hAnsi="Arial"/>
          <w:sz w:val="21"/>
          <w:szCs w:val="21"/>
        </w:rPr>
        <w:t xml:space="preserve">Given a validated causal graph, DSI can propagate a hypothetical shock through the Organisational Graph and estimate downstream consequences. A vulnerability is disclosed. The Engine knows which signal categories are causally downstream. The graph knows which entities in the portfolio are exposed. The simulation computes the probable aggregate loss before the event materialises.</w:t>
      </w:r>
    </w:p>
    <w:p>
      <w:pPr>
        <w:pStyle w:val="Heading2"/>
        <w:spacing w:after="160" w:before="280"/>
      </w:pPr>
      <w:r>
        <w:rPr>
          <w:rFonts w:ascii="Arial" w:cs="Arial" w:eastAsia="Arial" w:hAnsi="Arial"/>
          <w:b/>
          <w:bCs/>
          <w:color w:val="2E75B6"/>
          <w:sz w:val="26"/>
          <w:szCs w:val="26"/>
        </w:rPr>
        <w:t xml:space="preserve">7.2 Portfolio Optimisation</w:t>
      </w:r>
    </w:p>
    <w:p>
      <w:pPr>
        <w:spacing w:after="160" w:line="276"/>
      </w:pPr>
      <w:r>
        <w:rPr>
          <w:rFonts w:ascii="Arial" w:cs="Arial" w:eastAsia="Arial" w:hAnsi="Arial"/>
          <w:sz w:val="21"/>
          <w:szCs w:val="21"/>
        </w:rPr>
        <w:t xml:space="preserve">The Engine’s cross-coverage and cross-entity intelligence enables portfolio-level risk management that is impossible from within any single coverage config. If adding a new risk increases the portfolio’s correlation density on a specific supply chain node, the Engine detects this and publishes the concentration alert. The commercial layer can then adjust appetite or pricing.</w:t>
      </w:r>
    </w:p>
    <w:p>
      <w:pPr>
        <w:pStyle w:val="Heading2"/>
        <w:spacing w:after="160" w:before="280"/>
      </w:pPr>
      <w:r>
        <w:rPr>
          <w:rFonts w:ascii="Arial" w:cs="Arial" w:eastAsia="Arial" w:hAnsi="Arial"/>
          <w:b/>
          <w:bCs/>
          <w:color w:val="2E75B6"/>
          <w:sz w:val="26"/>
          <w:szCs w:val="26"/>
        </w:rPr>
        <w:t xml:space="preserve">7.3 Closed-Loop Carrier (Homeostasis)</w:t>
      </w:r>
    </w:p>
    <w:p>
      <w:pPr>
        <w:spacing w:after="160" w:line="276"/>
      </w:pPr>
      <w:r>
        <w:rPr>
          <w:rFonts w:ascii="Arial" w:cs="Arial" w:eastAsia="Arial" w:hAnsi="Arial"/>
          <w:sz w:val="21"/>
          <w:szCs w:val="21"/>
        </w:rPr>
        <w:t xml:space="preserve">The ultimate capability: the carrier transitions from risk transfer to risk prevention. When the Engine detects drift in an insured’s graph — a causal precursor to loss based on validated relationships — it triggers a proactive intervention: notification, deductible adjustment, remediation deployment. The carrier acts as a homeostatic regulator, dampening volatility to preserve its own capital.</w:t>
      </w:r>
    </w:p>
    <w:p>
      <w:pPr>
        <w:spacing w:after="80"/>
      </w:pPr>
    </w:p>
    <w:p>
      <w:pPr>
        <w:pBdr>
          <w:top w:val="single" w:color="E85D26" w:sz="4" w:space="8"/>
        </w:pBdr>
        <w:spacing w:after="200" w:before="300"/>
      </w:pPr>
      <w:r>
        <w:rPr>
          <w:rFonts w:ascii="Arial" w:cs="Arial" w:eastAsia="Arial" w:hAnsi="Arial"/>
          <w:b/>
          <w:bCs/>
          <w:color w:val="1B3A4B"/>
          <w:sz w:val="28"/>
          <w:szCs w:val="28"/>
        </w:rPr>
        <w:t xml:space="preserve">Conclusion</w:t>
      </w:r>
    </w:p>
    <w:p>
      <w:pPr>
        <w:spacing w:after="160" w:line="276"/>
      </w:pPr>
      <w:r>
        <w:rPr>
          <w:rFonts w:ascii="Arial" w:cs="Arial" w:eastAsia="Arial" w:hAnsi="Arial"/>
          <w:sz w:val="21"/>
          <w:szCs w:val="21"/>
        </w:rPr>
        <w:t xml:space="preserve">The World Engine is DSI’s third architectural layer: autonomous, self-calibrating, and structurally independent from both the coverage configuration and commercial entity layers beneath it. It consumes the output of every assessment. It discovers relationships no human encoded. It validates them without human authorisation. It publishes intelligence that the lower layers can consume but are not required to obey.</w:t>
      </w:r>
    </w:p>
    <w:p>
      <w:pPr>
        <w:spacing w:after="160" w:line="276"/>
      </w:pPr>
      <w:r>
        <w:rPr>
          <w:rFonts w:ascii="Arial" w:cs="Arial" w:eastAsia="Arial" w:hAnsi="Arial"/>
          <w:sz w:val="21"/>
          <w:szCs w:val="21"/>
        </w:rPr>
        <w:t xml:space="preserve">At launch, it provides consistency scoring. At scale, it provides causal discovery. At maturity, it enables simulation. Each stage is a consequence of the previous one, unlocked by data volume and time depth. The World Engine is not a feature. It is the mechanism by which DSI transitions from a scoring tool to a world model.</w:t>
      </w:r>
    </w:p>
    <w:p>
      <w:pPr>
        <w:spacing w:after="160" w:line="276"/>
      </w:pPr>
      <w:r>
        <w:rPr>
          <w:rFonts w:ascii="Arial" w:cs="Arial" w:eastAsia="Arial" w:hAnsi="Arial"/>
          <w:sz w:val="21"/>
          <w:szCs w:val="21"/>
        </w:rPr>
        <w:t xml:space="preserve">The architecture defined here ensures that transition is </w:t>
      </w:r>
      <w:r>
        <w:rPr>
          <w:rFonts w:ascii="Arial" w:cs="Arial" w:eastAsia="Arial" w:hAnsi="Arial"/>
          <w:b/>
          <w:bCs/>
          <w:sz w:val="21"/>
          <w:szCs w:val="21"/>
        </w:rPr>
        <w:t xml:space="preserve">deterministic, auditable, and autonomous</w:t>
      </w:r>
      <w:r>
        <w:rPr>
          <w:rFonts w:ascii="Arial" w:cs="Arial" w:eastAsia="Arial" w:hAnsi="Arial"/>
          <w:sz w:val="21"/>
          <w:szCs w:val="21"/>
        </w:rPr>
        <w:t xml:space="preserve"> — consistent with every principle DSI was built on.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i/>
        <w:iCs/>
        <w:color w:val="999999"/>
        <w:sz w:val="16"/>
        <w:szCs w:val="16"/>
      </w:rPr>
      <w:t xml:space="preserve">DSI World Engine Architecture</w:t>
    </w:r>
    <w:r>
      <w:rPr>
        <w:sz w:val="16"/>
        <w:szCs w:val="16"/>
      </w:rPr>
      <w:t xml:space="preserve">	</w:t>
    </w:r>
    <w:r>
      <w:rPr>
        <w:rFonts w:ascii="Arial" w:cs="Arial" w:eastAsia="Arial" w:hAnsi="Arial"/>
        <w:b/>
        <w:bCs/>
        <w:color w:val="E85D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2026-04-07T11:51:23.126Z</dcterms:created>
  <dcterms:modified xsi:type="dcterms:W3CDTF">2026-04-07T11:51:23.126Z</dcterms:modified>
</cp:coreProperties>
</file>

<file path=docProps/custom.xml><?xml version="1.0" encoding="utf-8"?>
<Properties xmlns="http://schemas.openxmlformats.org/officeDocument/2006/custom-properties" xmlns:vt="http://schemas.openxmlformats.org/officeDocument/2006/docPropsVTypes"/>
</file>