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80"/>
      </w:pPr>
      <w:r>
        <w:rPr>
          <w:rFonts w:ascii="Arial" w:cs="Arial" w:eastAsia="Arial" w:hAnsi="Arial"/>
          <w:b/>
          <w:bCs/>
          <w:color w:val="2E75B6"/>
          <w:spacing w:val="200"/>
          <w:sz w:val="22"/>
          <w:szCs w:val="22"/>
        </w:rPr>
        <w:t xml:space="preserve">DIGITAL SIGNAL INTELLIGENCE</w:t>
      </w:r>
    </w:p>
    <w:p>
      <w:pPr>
        <w:pBdr>
          <w:bottom w:val="single" w:color="E85D26" w:sz="6" w:space="8"/>
        </w:pBdr>
        <w:spacing w:after="200"/>
      </w:pPr>
      <w:r>
        <w:rPr>
          <w:rFonts w:ascii="Arial" w:cs="Arial" w:eastAsia="Arial" w:hAnsi="Arial"/>
          <w:b/>
          <w:bCs/>
          <w:color w:val="1B3A4B"/>
          <w:sz w:val="56"/>
          <w:szCs w:val="56"/>
        </w:rPr>
        <w:t xml:space="preserve">World Engine</w:t>
      </w:r>
    </w:p>
    <w:p>
      <w:pPr>
        <w:spacing w:after="120"/>
      </w:pPr>
      <w:r>
        <w:rPr>
          <w:rFonts w:ascii="Arial" w:cs="Arial" w:eastAsia="Arial" w:hAnsi="Arial"/>
          <w:color w:val="1B3A4B"/>
          <w:sz w:val="36"/>
          <w:szCs w:val="36"/>
        </w:rPr>
        <w:t xml:space="preserve">Addendum: Pricing Integration</w:t>
      </w:r>
    </w:p>
    <w:p>
      <w:pPr>
        <w:spacing w:after="120"/>
      </w:pPr>
      <w:r>
        <w:rPr>
          <w:rFonts w:ascii="Arial" w:cs="Arial" w:eastAsia="Arial" w:hAnsi="Arial"/>
          <w:color w:val="1B3A4B"/>
          <w:sz w:val="36"/>
          <w:szCs w:val="36"/>
        </w:rPr>
        <w:t xml:space="preserve">&amp; Portfolio Simulation</w:t>
      </w:r>
    </w:p>
    <w:p>
      <w:pPr>
        <w:spacing w:after="400"/>
      </w:pPr>
      <w:r>
        <w:rPr>
          <w:rFonts w:ascii="Arial" w:cs="Arial" w:eastAsia="Arial" w:hAnsi="Arial"/>
          <w:color w:val="999999"/>
          <w:sz w:val="24"/>
          <w:szCs w:val="24"/>
        </w:rPr>
        <w:t xml:space="preserve">How Causal Intelligence Reaches the Premium and the Portfolio</w:t>
      </w:r>
    </w:p>
    <w:p>
      <w:pPr>
        <w:spacing w:after="80"/>
      </w:pPr>
    </w:p>
    <w:p>
      <w:pPr>
        <w:spacing w:after="80"/>
      </w:pPr>
    </w:p>
    <w:p>
      <w:pPr>
        <w:spacing w:after="160" w:line="276"/>
      </w:pPr>
      <w:r>
        <w:rPr>
          <w:rFonts w:ascii="Arial" w:cs="Arial" w:eastAsia="Arial" w:hAnsi="Arial"/>
          <w:b/>
          <w:bCs/>
          <w:sz w:val="21"/>
          <w:szCs w:val="21"/>
        </w:rPr>
        <w:t xml:space="preserve">Extends: </w:t>
      </w:r>
      <w:r>
        <w:rPr>
          <w:rFonts w:ascii="Arial" w:cs="Arial" w:eastAsia="Arial" w:hAnsi="Arial"/>
          <w:sz w:val="21"/>
          <w:szCs w:val="21"/>
        </w:rPr>
        <w:t xml:space="preserve">World Engine Architecture Specification v1.0</w:t>
      </w:r>
    </w:p>
    <w:p>
      <w:pPr>
        <w:spacing w:after="160" w:line="276"/>
      </w:pPr>
      <w:r>
        <w:rPr>
          <w:rFonts w:ascii="Arial" w:cs="Arial" w:eastAsia="Arial" w:hAnsi="Arial"/>
          <w:b/>
          <w:bCs/>
          <w:sz w:val="21"/>
          <w:szCs w:val="21"/>
        </w:rPr>
        <w:t xml:space="preserve">Classification: </w:t>
      </w:r>
      <w:r>
        <w:rPr>
          <w:rFonts w:ascii="Arial" w:cs="Arial" w:eastAsia="Arial" w:hAnsi="Arial"/>
          <w:sz w:val="21"/>
          <w:szCs w:val="21"/>
        </w:rPr>
        <w:t xml:space="preserve">Internal — Architecture Specification</w:t>
      </w:r>
    </w:p>
    <w:p>
      <w:pPr>
        <w:spacing w:after="160" w:line="276"/>
      </w:pPr>
      <w:r>
        <w:rPr>
          <w:rFonts w:ascii="Arial" w:cs="Arial" w:eastAsia="Arial" w:hAnsi="Arial"/>
          <w:b/>
          <w:bCs/>
          <w:sz w:val="21"/>
          <w:szCs w:val="21"/>
        </w:rPr>
        <w:t xml:space="preserve">Author: </w:t>
      </w:r>
      <w:r>
        <w:rPr>
          <w:rFonts w:ascii="Arial" w:cs="Arial" w:eastAsia="Arial" w:hAnsi="Arial"/>
          <w:sz w:val="21"/>
          <w:szCs w:val="21"/>
        </w:rPr>
        <w:t xml:space="preserve">John Walker</w:t>
      </w:r>
    </w:p>
    <w:p>
      <w:pPr>
        <w:spacing w:after="160" w:line="276"/>
      </w:pPr>
      <w:r>
        <w:rPr>
          <w:rFonts w:ascii="Arial" w:cs="Arial" w:eastAsia="Arial" w:hAnsi="Arial"/>
          <w:b/>
          <w:bCs/>
          <w:sz w:val="21"/>
          <w:szCs w:val="21"/>
        </w:rPr>
        <w:t xml:space="preserve">Date: </w:t>
      </w:r>
      <w:r>
        <w:rPr>
          <w:rFonts w:ascii="Arial" w:cs="Arial" w:eastAsia="Arial" w:hAnsi="Arial"/>
          <w:sz w:val="21"/>
          <w:szCs w:val="21"/>
        </w:rPr>
        <w:t xml:space="preserve">April 2026</w:t>
      </w:r>
    </w:p>
    <w:p>
      <w:pPr>
        <w:spacing w:after="160" w:line="276"/>
      </w:pPr>
      <w:r>
        <w:rPr>
          <w:rFonts w:ascii="Arial" w:cs="Arial" w:eastAsia="Arial" w:hAnsi="Arial"/>
          <w:b/>
          <w:bCs/>
          <w:sz w:val="21"/>
          <w:szCs w:val="21"/>
        </w:rPr>
        <w:t xml:space="preserve">Version: </w:t>
      </w:r>
      <w:r>
        <w:rPr>
          <w:rFonts w:ascii="Arial" w:cs="Arial" w:eastAsia="Arial" w:hAnsi="Arial"/>
          <w:sz w:val="21"/>
          <w:szCs w:val="21"/>
        </w:rPr>
        <w:t xml:space="preserve">1.0</w:t>
      </w:r>
    </w:p>
    <w:p>
      <w:pPr>
        <w:spacing w:after="80"/>
      </w:pPr>
    </w:p>
    <w:p>
      <w:pPr>
        <w:spacing w:after="80"/>
      </w:pPr>
    </w:p>
    <w:p>
      <w:pPr>
        <w:spacing w:after="80"/>
      </w:pPr>
    </w:p>
    <w:p>
      <w:pPr>
        <w:spacing w:after="80"/>
      </w:pPr>
    </w:p>
    <w:p>
      <w:pPr>
        <w:spacing w:after="80"/>
      </w:pPr>
    </w:p>
    <w:p>
      <w:pPr>
        <w:spacing w:after="160" w:line="276"/>
        <w:rPr>
          <w:color w:val="999999"/>
          <w:sz w:val="18"/>
          <w:szCs w:val="18"/>
        </w:rPr>
      </w:pPr>
      <w:r>
        <w:rPr>
          <w:rFonts w:ascii="Arial" w:cs="Arial" w:eastAsia="Arial" w:hAnsi="Arial"/>
          <w:color w:val="999999"/>
          <w:sz w:val="18"/>
          <w:szCs w:val="18"/>
        </w:rPr>
        <w:t xml:space="preserve">© John Walker — All rights reserved.</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A4B"/>
          <w:sz w:val="32"/>
          <w:szCs w:val="32"/>
        </w:rPr>
        <w:t xml:space="preserve">The Problem</w:t>
      </w:r>
    </w:p>
    <w:p>
      <w:pPr>
        <w:spacing w:after="160" w:line="276"/>
      </w:pPr>
      <w:r>
        <w:rPr>
          <w:rFonts w:ascii="Arial" w:cs="Arial" w:eastAsia="Arial" w:hAnsi="Arial"/>
          <w:sz w:val="21"/>
          <w:szCs w:val="21"/>
        </w:rPr>
        <w:t xml:space="preserve">The DSI pricing engine produces a technical premium via a deterministic formula:</w:t>
      </w:r>
    </w:p>
    <w:p>
      <w:pPr>
        <w:spacing w:after="160" w:line="276"/>
        <w:jc w:val="center"/>
      </w:pPr>
      <w:r>
        <w:rPr>
          <w:rFonts w:ascii="Courier New" w:cs="Courier New" w:eastAsia="Courier New" w:hAnsi="Courier New"/>
          <w:sz w:val="20"/>
          <w:szCs w:val="20"/>
        </w:rPr>
        <w:t xml:space="preserve">P = (B × R) × ILF × D × M_risk × M_loss × M_exp</w:t>
      </w:r>
    </w:p>
    <w:p>
      <w:pPr>
        <w:spacing w:after="160" w:line="276"/>
      </w:pPr>
      <w:r>
        <w:rPr>
          <w:rFonts w:ascii="Arial" w:cs="Arial" w:eastAsia="Arial" w:hAnsi="Arial"/>
          <w:sz w:val="21"/>
          <w:szCs w:val="21"/>
        </w:rPr>
        <w:t xml:space="preserve">Every component of this formula derives from a linear pipeline: signals are scored 0–100, aggregated into weighted composites 0–1000, mapped to tiers, and applied as multiplicative scalars. The formula is elegant, auditable, and deterministic. It is also structurally incapable of expressing the kind of intelligence the World Engine produces.</w:t>
      </w:r>
    </w:p>
    <w:p>
      <w:pPr>
        <w:spacing w:after="160" w:line="276"/>
      </w:pPr>
      <w:r>
        <w:rPr>
          <w:rFonts w:ascii="Arial" w:cs="Arial" w:eastAsia="Arial" w:hAnsi="Arial"/>
          <w:sz w:val="21"/>
          <w:szCs w:val="21"/>
        </w:rPr>
        <w:t xml:space="preserve">The World Engine discovers relationships like: governance entropy exceeding 0.7 while hiring velocity is above the 80th percentile Granger-causes technical infrastructure degradation with a 9-month lag, but only in entities whose complexity category is Moderate or above. This is a conditional, temporal, non-linear, multi-variable relationship. It cannot be expressed as a weight change. It cannot be expressed as a modifier. It cannot be expressed as a tier override. The existing formula has no mechanism to receive it.</w:t>
      </w:r>
    </w:p>
    <w:p>
      <w:pPr>
        <w:spacing w:after="160" w:line="276"/>
      </w:pPr>
      <w:r>
        <w:rPr>
          <w:rFonts w:ascii="Arial" w:cs="Arial" w:eastAsia="Arial" w:hAnsi="Arial"/>
          <w:sz w:val="21"/>
          <w:szCs w:val="21"/>
        </w:rPr>
        <w:t xml:space="preserve">Simultaneously, the entire pricing architecture is submission-level. Nothing in the pipeline considers the portfolio the risk is joining. The World Engine, by definition, operates on the population. Its portfolio intelligence has no consumption point in the current architecture.</w:t>
      </w:r>
    </w:p>
    <w:p>
      <w:pPr>
        <w:spacing w:after="160" w:line="276"/>
      </w:pPr>
      <w:r>
        <w:rPr>
          <w:rFonts w:ascii="Arial" w:cs="Arial" w:eastAsia="Arial" w:hAnsi="Arial"/>
          <w:sz w:val="21"/>
          <w:szCs w:val="21"/>
        </w:rPr>
        <w:t xml:space="preserve">These are not bugs. They are the natural boundary of a Layer 1 pricing engine. The solution is not to extend the formula. It is to </w:t>
      </w:r>
      <w:r>
        <w:rPr>
          <w:rFonts w:ascii="Arial" w:cs="Arial" w:eastAsia="Arial" w:hAnsi="Arial"/>
          <w:b/>
          <w:bCs/>
          <w:sz w:val="21"/>
          <w:szCs w:val="21"/>
        </w:rPr>
        <w:t xml:space="preserve">run the World Engine as a parallel pricing dimension</w:t>
      </w:r>
      <w:r>
        <w:rPr>
          <w:rFonts w:ascii="Arial" w:cs="Arial" w:eastAsia="Arial" w:hAnsi="Arial"/>
          <w:sz w:val="21"/>
          <w:szCs w:val="21"/>
        </w:rPr>
        <w:t xml:space="preserve"> and build a portfolio intelligence capability that sits above individual assessments.</w:t>
      </w:r>
    </w:p>
    <w:p>
      <w:r>
        <w:br w:type="page"/>
      </w:r>
    </w:p>
    <w:p>
      <w:pPr>
        <w:pStyle w:val="Heading1"/>
        <w:spacing w:after="200" w:before="360"/>
      </w:pPr>
      <w:r>
        <w:rPr>
          <w:rFonts w:ascii="Arial" w:cs="Arial" w:eastAsia="Arial" w:hAnsi="Arial"/>
          <w:b/>
          <w:bCs/>
          <w:color w:val="1B3A4B"/>
          <w:sz w:val="32"/>
          <w:szCs w:val="32"/>
        </w:rPr>
        <w:t xml:space="preserve">Part A: Causal Graph Pricing</w:t>
      </w:r>
    </w:p>
    <w:p>
      <w:pPr>
        <w:pStyle w:val="Heading2"/>
        <w:spacing w:after="160" w:before="280"/>
      </w:pPr>
      <w:r>
        <w:rPr>
          <w:rFonts w:ascii="Arial" w:cs="Arial" w:eastAsia="Arial" w:hAnsi="Arial"/>
          <w:b/>
          <w:bCs/>
          <w:color w:val="2E75B6"/>
          <w:sz w:val="26"/>
          <w:szCs w:val="26"/>
        </w:rPr>
        <w:t xml:space="preserve">A.1 The Dual-Track Architecture</w:t>
      </w:r>
    </w:p>
    <w:p>
      <w:pPr>
        <w:spacing w:after="160" w:line="276"/>
      </w:pPr>
      <w:r>
        <w:rPr>
          <w:rFonts w:ascii="Arial" w:cs="Arial" w:eastAsia="Arial" w:hAnsi="Arial"/>
          <w:sz w:val="21"/>
          <w:szCs w:val="21"/>
        </w:rPr>
        <w:t xml:space="preserve">The technical premium continues to be computed exactly as it is today. The static scoring pipeline (signals → composite → tier → rate × basis × ILF × deductible × modifiers) is not modified, not extended, and not contaminated. It remains the deterministic, YAML-configured, fully auditable pricing backbone.</w:t>
      </w:r>
    </w:p>
    <w:p>
      <w:pPr>
        <w:spacing w:after="160" w:line="276"/>
      </w:pPr>
      <w:r>
        <w:rPr>
          <w:rFonts w:ascii="Arial" w:cs="Arial" w:eastAsia="Arial" w:hAnsi="Arial"/>
          <w:sz w:val="21"/>
          <w:szCs w:val="21"/>
        </w:rPr>
        <w:t xml:space="preserve">In parallel, the World Engine runs a separate assessment on the same entity: the Causal Graph Assessment. This takes the entity’s current signal state, maps it onto the Engine’s validated causal graph, and computes a forward risk trajectory — a probabilistic estimate of where this entity is heading based on the causal precursors the Engine has discovered.</w:t>
      </w:r>
    </w:p>
    <w:p>
      <w:pPr>
        <w:spacing w:after="160" w:line="276"/>
      </w:pPr>
      <w:r>
        <w:rPr>
          <w:rFonts w:ascii="Arial" w:cs="Arial" w:eastAsia="Arial" w:hAnsi="Arial"/>
          <w:sz w:val="21"/>
          <w:szCs w:val="21"/>
        </w:rPr>
        <w:t xml:space="preserve">The two tracks produce independent outputs that are reconciled into a unified premium: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Track</w:t>
            </w:r>
          </w:p>
        </w:tc>
        <w:tc>
          <w:tcPr>
            <w:tcW w:type="dxa" w:w="368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What It Captures</w:t>
            </w:r>
          </w:p>
        </w:tc>
        <w:tc>
          <w:tcPr>
            <w:tcW w:type="dxa" w:w="368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1"/>
                <w:szCs w:val="21"/>
              </w:rPr>
              <w:t xml:space="preserve">Static Scoring</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Current state. How does this entity score right now, against the configured signal weights and tier thresholds?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Technical Premium (P_static)</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E85D26"/>
                <w:sz w:val="21"/>
                <w:szCs w:val="21"/>
              </w:rPr>
              <w:t xml:space="preserve">Causal Graph</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Forward trajectory. Given the entity’s position in the validated causal graph, what is the implied risk trajectory over the policy period?</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Causal Adjustment Factor (CAF)</w:t>
            </w:r>
          </w:p>
        </w:tc>
      </w:tr>
    </w:tbl>
    <w:p>
      <w:pPr>
        <w:spacing w:after="80"/>
      </w:pPr>
    </w:p>
    <w:p>
      <w:pPr>
        <w:spacing w:after="160" w:line="276"/>
      </w:pPr>
      <w:r>
        <w:rPr>
          <w:rFonts w:ascii="Arial" w:cs="Arial" w:eastAsia="Arial" w:hAnsi="Arial"/>
          <w:sz w:val="21"/>
          <w:szCs w:val="21"/>
        </w:rPr>
        <w:t xml:space="preserve">The final technical premium becomes:</w:t>
      </w:r>
    </w:p>
    <w:p>
      <w:pPr>
        <w:spacing w:after="160" w:line="276"/>
        <w:jc w:val="center"/>
      </w:pPr>
      <w:r>
        <w:rPr>
          <w:rFonts w:ascii="Courier New" w:cs="Courier New" w:eastAsia="Courier New" w:hAnsi="Courier New"/>
          <w:sz w:val="20"/>
          <w:szCs w:val="20"/>
        </w:rPr>
        <w:t xml:space="preserve">P_final = P_static × CAF</w:t>
      </w:r>
    </w:p>
    <w:p>
      <w:pPr>
        <w:spacing w:after="80"/>
      </w:pPr>
    </w:p>
    <w:p>
      <w:pPr>
        <w:spacing w:after="160" w:line="276"/>
      </w:pPr>
      <w:r>
        <w:rPr>
          <w:rFonts w:ascii="Arial" w:cs="Arial" w:eastAsia="Arial" w:hAnsi="Arial"/>
          <w:sz w:val="21"/>
          <w:szCs w:val="21"/>
        </w:rPr>
        <w:t xml:space="preserve">But unlike the existing modifiers (M_risk, M_loss, M_exp), which are derived from static band assignments, the CAF is computed by the World Engine from the entity’s causal state. It captures intelligence that the static scoring structurally cannot see.</w:t>
      </w:r>
    </w:p>
    <w:p>
      <w:pPr>
        <w:pStyle w:val="Heading2"/>
        <w:spacing w:after="160" w:before="280"/>
      </w:pPr>
      <w:r>
        <w:rPr>
          <w:rFonts w:ascii="Arial" w:cs="Arial" w:eastAsia="Arial" w:hAnsi="Arial"/>
          <w:b/>
          <w:bCs/>
          <w:color w:val="2E75B6"/>
          <w:sz w:val="26"/>
          <w:szCs w:val="26"/>
        </w:rPr>
        <w:t xml:space="preserve">A.2 How the Causal Adjustment Factor Is Computed</w:t>
      </w:r>
    </w:p>
    <w:p>
      <w:pPr>
        <w:spacing w:after="160" w:line="276"/>
      </w:pPr>
      <w:r>
        <w:rPr>
          <w:rFonts w:ascii="Arial" w:cs="Arial" w:eastAsia="Arial" w:hAnsi="Arial"/>
          <w:sz w:val="21"/>
          <w:szCs w:val="21"/>
        </w:rPr>
        <w:t xml:space="preserve">The CAF is not a single formula. It is the output of a graph traversal process that evaluates the entity against every active relationship in the intelligence registry.</w:t>
      </w:r>
    </w:p>
    <w:p>
      <w:pPr>
        <w:spacing w:after="120" w:before="200"/>
      </w:pPr>
      <w:r>
        <w:rPr>
          <w:rFonts w:ascii="Arial" w:cs="Arial" w:eastAsia="Arial" w:hAnsi="Arial"/>
          <w:b/>
          <w:bCs/>
          <w:color w:val="1B3A4B"/>
          <w:sz w:val="22"/>
          <w:szCs w:val="22"/>
        </w:rPr>
        <w:t xml:space="preserve">Step 1: Entity Causal State Mapping</w:t>
      </w:r>
    </w:p>
    <w:p>
      <w:pPr>
        <w:spacing w:after="160" w:line="276"/>
      </w:pPr>
      <w:r>
        <w:rPr>
          <w:rFonts w:ascii="Arial" w:cs="Arial" w:eastAsia="Arial" w:hAnsi="Arial"/>
          <w:sz w:val="21"/>
          <w:szCs w:val="21"/>
        </w:rPr>
        <w:t xml:space="preserve">The entity’s current signal scores and derivative values are mapped onto the causal graph. Each signal becomes a node in the entity’s local causal subgraph. Active World Engine relationships that involve any of the entity’s signals become edges. The result is the entity’s causal neighbourhood — the set of validated causal pathways that are relevant to this specific entity.</w:t>
      </w:r>
    </w:p>
    <w:p>
      <w:pPr>
        <w:spacing w:after="120" w:before="200"/>
      </w:pPr>
      <w:r>
        <w:rPr>
          <w:rFonts w:ascii="Arial" w:cs="Arial" w:eastAsia="Arial" w:hAnsi="Arial"/>
          <w:b/>
          <w:bCs/>
          <w:color w:val="1B3A4B"/>
          <w:sz w:val="22"/>
          <w:szCs w:val="22"/>
        </w:rPr>
        <w:t xml:space="preserve">Step 2: Precursor Evaluation</w:t>
      </w:r>
    </w:p>
    <w:p>
      <w:pPr>
        <w:spacing w:after="160" w:line="276"/>
      </w:pPr>
      <w:r>
        <w:rPr>
          <w:rFonts w:ascii="Arial" w:cs="Arial" w:eastAsia="Arial" w:hAnsi="Arial"/>
          <w:sz w:val="21"/>
          <w:szCs w:val="21"/>
        </w:rPr>
        <w:t xml:space="preserve">For each active causal relationship where the entity’s signal state matches the precursor condition, compute the implied consequence probability. If the Engine has established that governance entropy &gt; 0.7 precedes security degradation with 75% hit rate and a 9-month lag, and this entity’s governance entropy is currently 0.82, then the entity is in an active precursor state for that relationship.</w:t>
      </w:r>
    </w:p>
    <w:p>
      <w:pPr>
        <w:spacing w:after="160" w:line="276"/>
      </w:pPr>
      <w:r>
        <w:rPr>
          <w:rFonts w:ascii="Arial" w:cs="Arial" w:eastAsia="Arial" w:hAnsi="Arial"/>
          <w:sz w:val="21"/>
          <w:szCs w:val="21"/>
        </w:rPr>
        <w:t xml:space="preserve">Critically, this is not binary. The entity’s distance from the precursor threshold, the number of concurrent active precursors, and the historical predictive accuracy of each relationship all contribute to a graduated assessment. An entity that is marginally above one precursor threshold is very different from an entity that is deep into multiple precursor states simultaneously.</w:t>
      </w:r>
    </w:p>
    <w:p>
      <w:pPr>
        <w:spacing w:after="120" w:before="200"/>
      </w:pPr>
      <w:r>
        <w:rPr>
          <w:rFonts w:ascii="Arial" w:cs="Arial" w:eastAsia="Arial" w:hAnsi="Arial"/>
          <w:b/>
          <w:bCs/>
          <w:color w:val="1B3A4B"/>
          <w:sz w:val="22"/>
          <w:szCs w:val="22"/>
        </w:rPr>
        <w:t xml:space="preserve">Step 3: Trajectory Synthesis</w:t>
      </w:r>
    </w:p>
    <w:p>
      <w:pPr>
        <w:spacing w:after="160" w:line="276"/>
      </w:pPr>
      <w:r>
        <w:rPr>
          <w:rFonts w:ascii="Arial" w:cs="Arial" w:eastAsia="Arial" w:hAnsi="Arial"/>
          <w:sz w:val="21"/>
          <w:szCs w:val="21"/>
        </w:rPr>
        <w:t xml:space="preserve">The collection of active precursor evaluations is synthesised into a forward risk trajectory. This is a probability distribution over the entity’s likely state at the end of the policy period, given its current causal position. The trajectory is expressed as an expected tier migration probability:</w:t>
      </w:r>
    </w:p>
    <w:p>
      <w:pPr>
        <w:pStyle w:val="ListParagraph"/>
        <w:numPr>
          <w:ilvl w:val="0"/>
          <w:numId w:val="2"/>
        </w:numPr>
        <w:spacing w:after="100" w:line="276"/>
      </w:pPr>
      <w:r>
        <w:rPr>
          <w:rFonts w:ascii="Arial" w:cs="Arial" w:eastAsia="Arial" w:hAnsi="Arial"/>
          <w:sz w:val="21"/>
          <w:szCs w:val="21"/>
        </w:rPr>
        <w:t xml:space="preserve">P(remain at current tier) = 0.65</w:t>
      </w:r>
    </w:p>
    <w:p>
      <w:pPr>
        <w:pStyle w:val="ListParagraph"/>
        <w:numPr>
          <w:ilvl w:val="0"/>
          <w:numId w:val="2"/>
        </w:numPr>
        <w:spacing w:after="100" w:line="276"/>
      </w:pPr>
      <w:r>
        <w:rPr>
          <w:rFonts w:ascii="Arial" w:cs="Arial" w:eastAsia="Arial" w:hAnsi="Arial"/>
          <w:sz w:val="21"/>
          <w:szCs w:val="21"/>
        </w:rPr>
        <w:t xml:space="preserve">P(migrate one tier worse) = 0.25</w:t>
      </w:r>
    </w:p>
    <w:p>
      <w:pPr>
        <w:pStyle w:val="ListParagraph"/>
        <w:numPr>
          <w:ilvl w:val="0"/>
          <w:numId w:val="2"/>
        </w:numPr>
        <w:spacing w:after="100" w:line="276"/>
      </w:pPr>
      <w:r>
        <w:rPr>
          <w:rFonts w:ascii="Arial" w:cs="Arial" w:eastAsia="Arial" w:hAnsi="Arial"/>
          <w:sz w:val="21"/>
          <w:szCs w:val="21"/>
        </w:rPr>
        <w:t xml:space="preserve">P(migrate two tiers worse) = 0.08</w:t>
      </w:r>
    </w:p>
    <w:p>
      <w:pPr>
        <w:pStyle w:val="ListParagraph"/>
        <w:numPr>
          <w:ilvl w:val="0"/>
          <w:numId w:val="2"/>
        </w:numPr>
        <w:spacing w:after="100" w:line="276"/>
      </w:pPr>
      <w:r>
        <w:rPr>
          <w:rFonts w:ascii="Arial" w:cs="Arial" w:eastAsia="Arial" w:hAnsi="Arial"/>
          <w:sz w:val="21"/>
          <w:szCs w:val="21"/>
        </w:rPr>
        <w:t xml:space="preserve">P(migrate one tier better) = 0.02</w:t>
      </w:r>
    </w:p>
    <w:p>
      <w:pPr>
        <w:spacing w:after="120" w:before="200"/>
      </w:pPr>
      <w:r>
        <w:rPr>
          <w:rFonts w:ascii="Arial" w:cs="Arial" w:eastAsia="Arial" w:hAnsi="Arial"/>
          <w:b/>
          <w:bCs/>
          <w:color w:val="1B3A4B"/>
          <w:sz w:val="22"/>
          <w:szCs w:val="22"/>
        </w:rPr>
        <w:t xml:space="preserve">Step 4: CAF Computation</w:t>
      </w:r>
    </w:p>
    <w:p>
      <w:pPr>
        <w:spacing w:after="160" w:line="276"/>
      </w:pPr>
      <w:r>
        <w:rPr>
          <w:rFonts w:ascii="Arial" w:cs="Arial" w:eastAsia="Arial" w:hAnsi="Arial"/>
          <w:sz w:val="21"/>
          <w:szCs w:val="21"/>
        </w:rPr>
        <w:t xml:space="preserve">The trajectory is converted to a pricing adjustment by weighting each possible migration by its premium impact:</w:t>
      </w:r>
    </w:p>
    <w:p>
      <w:pPr>
        <w:spacing w:after="160" w:line="276"/>
        <w:jc w:val="center"/>
      </w:pPr>
      <w:r>
        <w:rPr>
          <w:rFonts w:ascii="Courier New" w:cs="Courier New" w:eastAsia="Courier New" w:hAnsi="Courier New"/>
          <w:sz w:val="20"/>
          <w:szCs w:val="20"/>
        </w:rPr>
        <w:t xml:space="preserve">CAF = Σ [P(tier_i) × (Rate_tier_i / Rate_current_tier)]</w:t>
      </w:r>
    </w:p>
    <w:p>
      <w:pPr>
        <w:spacing w:after="80"/>
      </w:pPr>
    </w:p>
    <w:p>
      <w:pPr>
        <w:spacing w:after="160" w:line="276"/>
      </w:pPr>
      <w:r>
        <w:rPr>
          <w:rFonts w:ascii="Arial" w:cs="Arial" w:eastAsia="Arial" w:hAnsi="Arial"/>
          <w:sz w:val="21"/>
          <w:szCs w:val="21"/>
        </w:rPr>
        <w:t xml:space="preserve">In plain language: the CAF is the expected premium the entity should pay, weighted by the probability of each tier it might migrate to over the policy period. An entity that is currently Tier 2 but has a 25% probability of migrating to Tier 3 will have a CAF &gt; 1.0, because the expected risk over the policy period is worse than the current snapshot suggests.</w:t>
      </w:r>
    </w:p>
    <w:p>
      <w:pPr>
        <w:spacing w:after="160" w:line="276"/>
      </w:pPr>
      <w:r>
        <w:rPr>
          <w:rFonts w:ascii="Arial" w:cs="Arial" w:eastAsia="Arial" w:hAnsi="Arial"/>
          <w:sz w:val="21"/>
          <w:szCs w:val="21"/>
        </w:rPr>
        <w:t xml:space="preserve">An entity with no active precursors and stable signal trajectories will have a CAF of approximately 1.0 — the causal graph has nothing to add to the static assessment.</w:t>
      </w:r>
    </w:p>
    <w:p>
      <w:pPr>
        <w:pStyle w:val="Heading2"/>
        <w:spacing w:after="160" w:before="280"/>
      </w:pPr>
      <w:r>
        <w:rPr>
          <w:rFonts w:ascii="Arial" w:cs="Arial" w:eastAsia="Arial" w:hAnsi="Arial"/>
          <w:b/>
          <w:bCs/>
          <w:color w:val="2E75B6"/>
          <w:sz w:val="26"/>
          <w:szCs w:val="26"/>
        </w:rPr>
        <w:t xml:space="preserve">A.3 What The Audit Trail Shows</w:t>
      </w:r>
    </w:p>
    <w:p>
      <w:pPr>
        <w:spacing w:after="160" w:line="276"/>
      </w:pPr>
      <w:r>
        <w:rPr>
          <w:rFonts w:ascii="Arial" w:cs="Arial" w:eastAsia="Arial" w:hAnsi="Arial"/>
          <w:sz w:val="21"/>
          <w:szCs w:val="21"/>
        </w:rPr>
        <w:t xml:space="preserve">The CAF appears as a distinct line item in the premium breakdown, with full provenance:</w:t>
      </w:r>
    </w:p>
    <w:p>
      <w:pPr>
        <w:pStyle w:val="ListParagraph"/>
        <w:numPr>
          <w:ilvl w:val="0"/>
          <w:numId w:val="2"/>
        </w:numPr>
        <w:spacing w:after="100" w:line="276"/>
      </w:pPr>
      <w:r>
        <w:rPr>
          <w:rFonts w:ascii="Arial" w:cs="Arial" w:eastAsia="Arial" w:hAnsi="Arial"/>
          <w:b/>
          <w:bCs/>
          <w:sz w:val="21"/>
          <w:szCs w:val="21"/>
        </w:rPr>
        <w:t xml:space="preserve">Which relationships were evaluated: </w:t>
      </w:r>
      <w:r>
        <w:rPr>
          <w:rFonts w:ascii="Arial" w:cs="Arial" w:eastAsia="Arial" w:hAnsi="Arial"/>
          <w:sz w:val="21"/>
          <w:szCs w:val="21"/>
        </w:rPr>
        <w:t xml:space="preserve">List of active relationships from the intelligence registry that matched the entity’s signal profile.</w:t>
      </w:r>
    </w:p>
    <w:p>
      <w:pPr>
        <w:pStyle w:val="ListParagraph"/>
        <w:numPr>
          <w:ilvl w:val="0"/>
          <w:numId w:val="2"/>
        </w:numPr>
        <w:spacing w:after="100" w:line="276"/>
      </w:pPr>
      <w:r>
        <w:rPr>
          <w:rFonts w:ascii="Arial" w:cs="Arial" w:eastAsia="Arial" w:hAnsi="Arial"/>
          <w:b/>
          <w:bCs/>
          <w:sz w:val="21"/>
          <w:szCs w:val="21"/>
        </w:rPr>
        <w:t xml:space="preserve">Which precursors were active: </w:t>
      </w:r>
      <w:r>
        <w:rPr>
          <w:rFonts w:ascii="Arial" w:cs="Arial" w:eastAsia="Arial" w:hAnsi="Arial"/>
          <w:sz w:val="21"/>
          <w:szCs w:val="21"/>
        </w:rPr>
        <w:t xml:space="preserve">The specific signal conditions that triggered each relationship, with the entity’s actual values versus the relationship’s thresholds.</w:t>
      </w:r>
    </w:p>
    <w:p>
      <w:pPr>
        <w:pStyle w:val="ListParagraph"/>
        <w:numPr>
          <w:ilvl w:val="0"/>
          <w:numId w:val="2"/>
        </w:numPr>
        <w:spacing w:after="100" w:line="276"/>
      </w:pPr>
      <w:r>
        <w:rPr>
          <w:rFonts w:ascii="Arial" w:cs="Arial" w:eastAsia="Arial" w:hAnsi="Arial"/>
          <w:b/>
          <w:bCs/>
          <w:sz w:val="21"/>
          <w:szCs w:val="21"/>
        </w:rPr>
        <w:t xml:space="preserve">The trajectory distribution: </w:t>
      </w:r>
      <w:r>
        <w:rPr>
          <w:rFonts w:ascii="Arial" w:cs="Arial" w:eastAsia="Arial" w:hAnsi="Arial"/>
          <w:sz w:val="21"/>
          <w:szCs w:val="21"/>
        </w:rPr>
        <w:t xml:space="preserve">The probability distribution over tier migrations.</w:t>
      </w:r>
    </w:p>
    <w:p>
      <w:pPr>
        <w:pStyle w:val="ListParagraph"/>
        <w:numPr>
          <w:ilvl w:val="0"/>
          <w:numId w:val="2"/>
        </w:numPr>
        <w:spacing w:after="100" w:line="276"/>
      </w:pPr>
      <w:r>
        <w:rPr>
          <w:rFonts w:ascii="Arial" w:cs="Arial" w:eastAsia="Arial" w:hAnsi="Arial"/>
          <w:b/>
          <w:bCs/>
          <w:sz w:val="21"/>
          <w:szCs w:val="21"/>
        </w:rPr>
        <w:t xml:space="preserve">The resulting CAF: </w:t>
      </w:r>
      <w:r>
        <w:rPr>
          <w:rFonts w:ascii="Arial" w:cs="Arial" w:eastAsia="Arial" w:hAnsi="Arial"/>
          <w:sz w:val="21"/>
          <w:szCs w:val="21"/>
        </w:rPr>
        <w:t xml:space="preserve">The computed adjustment, with the mathematical derivation from the trajectory.</w:t>
      </w:r>
    </w:p>
    <w:p>
      <w:pPr>
        <w:pStyle w:val="ListParagraph"/>
        <w:numPr>
          <w:ilvl w:val="0"/>
          <w:numId w:val="2"/>
        </w:numPr>
        <w:spacing w:after="100" w:line="276"/>
      </w:pPr>
      <w:r>
        <w:rPr>
          <w:rFonts w:ascii="Arial" w:cs="Arial" w:eastAsia="Arial" w:hAnsi="Arial"/>
          <w:b/>
          <w:bCs/>
          <w:sz w:val="21"/>
          <w:szCs w:val="21"/>
        </w:rPr>
        <w:t xml:space="preserve">Confidence: </w:t>
      </w:r>
      <w:r>
        <w:rPr>
          <w:rFonts w:ascii="Arial" w:cs="Arial" w:eastAsia="Arial" w:hAnsi="Arial"/>
          <w:sz w:val="21"/>
          <w:szCs w:val="21"/>
        </w:rPr>
        <w:t xml:space="preserve">The Engine’s confidence in the CAF, reflecting the number, strength, and predictive accuracy of the active relationships.</w:t>
      </w:r>
    </w:p>
    <w:p>
      <w:pPr>
        <w:spacing w:after="160" w:line="276"/>
      </w:pPr>
      <w:r>
        <w:rPr>
          <w:rFonts w:ascii="Arial" w:cs="Arial" w:eastAsia="Arial" w:hAnsi="Arial"/>
          <w:sz w:val="21"/>
          <w:szCs w:val="21"/>
        </w:rPr>
        <w:t xml:space="preserve">This means that when an underwriter or auditor asks why the premium was adjusted, the answer is not a black box. It is: these specific validated causal relationships, with these statistical provenance scores, indicate that this entity is on this specific trajectory, which implies this premium adjustment.</w:t>
      </w:r>
    </w:p>
    <w:p>
      <w:pPr>
        <w:pStyle w:val="Heading2"/>
        <w:spacing w:after="160" w:before="280"/>
      </w:pPr>
      <w:r>
        <w:rPr>
          <w:rFonts w:ascii="Arial" w:cs="Arial" w:eastAsia="Arial" w:hAnsi="Arial"/>
          <w:b/>
          <w:bCs/>
          <w:color w:val="2E75B6"/>
          <w:sz w:val="26"/>
          <w:szCs w:val="26"/>
        </w:rPr>
        <w:t xml:space="preserve">A.4 The Constraint System</w:t>
      </w:r>
    </w:p>
    <w:p>
      <w:pPr>
        <w:spacing w:after="160" w:line="276"/>
      </w:pPr>
      <w:r>
        <w:rPr>
          <w:rFonts w:ascii="Arial" w:cs="Arial" w:eastAsia="Arial" w:hAnsi="Arial"/>
          <w:sz w:val="21"/>
          <w:szCs w:val="21"/>
        </w:rPr>
        <w:t xml:space="preserve">The CAF is not unbounded. It operates within a constrained envelope to prevent extreme adjustments from undermining pricing stability: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30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8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CAF Floor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0.80 (20% maximum credit)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Prevents causal optimism from underpricing risk</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CAF Cap</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1.50 (50% maximum loading)</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Prevents causal pessimism from pricing out of market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Confidence Gate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CAF applies only when Engine confidence &gt; 0.6</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Low-confidence assessments default to CAF = 1.0</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Relationship Minimum</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At least 2 active relationships must be evaluated</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Single-relationship adjustments are too fragile</w:t>
            </w:r>
          </w:p>
        </w:tc>
      </w:tr>
    </w:tbl>
    <w:p>
      <w:pPr>
        <w:spacing w:after="80"/>
      </w:pPr>
    </w:p>
    <w:p>
      <w:pPr>
        <w:spacing w:after="160" w:line="276"/>
      </w:pPr>
      <w:r>
        <w:rPr>
          <w:rFonts w:ascii="Arial" w:cs="Arial" w:eastAsia="Arial" w:hAnsi="Arial"/>
          <w:i/>
          <w:iCs/>
          <w:sz w:val="21"/>
          <w:szCs w:val="21"/>
        </w:rPr>
        <w:t xml:space="preserve">These constraints are self-managed by the Engine. They are not YAML configuration. As the Engine matures and validation evidence accumulates, the constraints can widen autonomously based on demonstrated predictive accuracy.</w:t>
      </w:r>
    </w:p>
    <w:p>
      <w:pPr>
        <w:pStyle w:val="Heading2"/>
        <w:spacing w:after="160" w:before="280"/>
      </w:pPr>
      <w:r>
        <w:rPr>
          <w:rFonts w:ascii="Arial" w:cs="Arial" w:eastAsia="Arial" w:hAnsi="Arial"/>
          <w:b/>
          <w:bCs/>
          <w:color w:val="2E75B6"/>
          <w:sz w:val="26"/>
          <w:szCs w:val="26"/>
        </w:rPr>
        <w:t xml:space="preserve">A.5 Relationship to the Existing Formula</w:t>
      </w:r>
    </w:p>
    <w:p>
      <w:pPr>
        <w:spacing w:after="160" w:line="276"/>
      </w:pPr>
      <w:r>
        <w:rPr>
          <w:rFonts w:ascii="Arial" w:cs="Arial" w:eastAsia="Arial" w:hAnsi="Arial"/>
          <w:sz w:val="21"/>
          <w:szCs w:val="21"/>
        </w:rPr>
        <w:t xml:space="preserve">The premium formula evolves from:</w:t>
      </w:r>
    </w:p>
    <w:p>
      <w:pPr>
        <w:spacing w:after="160" w:line="276"/>
        <w:jc w:val="center"/>
      </w:pPr>
      <w:r>
        <w:rPr>
          <w:rFonts w:ascii="Courier New" w:cs="Courier New" w:eastAsia="Courier New" w:hAnsi="Courier New"/>
          <w:sz w:val="20"/>
          <w:szCs w:val="20"/>
        </w:rPr>
        <w:t xml:space="preserve">P = (B × R) × ILF × D × M_risk × M_loss × M_exp</w:t>
      </w:r>
    </w:p>
    <w:p>
      <w:pPr>
        <w:spacing w:after="160" w:line="276"/>
      </w:pPr>
      <w:r>
        <w:rPr>
          <w:rFonts w:ascii="Arial" w:cs="Arial" w:eastAsia="Arial" w:hAnsi="Arial"/>
          <w:sz w:val="21"/>
          <w:szCs w:val="21"/>
        </w:rPr>
        <w:t xml:space="preserve">To:</w:t>
      </w:r>
    </w:p>
    <w:p>
      <w:pPr>
        <w:spacing w:after="160" w:line="276"/>
        <w:jc w:val="center"/>
      </w:pPr>
      <w:r>
        <w:rPr>
          <w:rFonts w:ascii="Courier New" w:cs="Courier New" w:eastAsia="Courier New" w:hAnsi="Courier New"/>
          <w:sz w:val="20"/>
          <w:szCs w:val="20"/>
        </w:rPr>
        <w:t xml:space="preserve">P = (B × R) × ILF × D × M_risk × M_loss × M_exp × CAF</w:t>
      </w:r>
    </w:p>
    <w:p>
      <w:pPr>
        <w:spacing w:after="80"/>
      </w:pPr>
    </w:p>
    <w:p>
      <w:pPr>
        <w:spacing w:after="160" w:line="276"/>
      </w:pPr>
      <w:r>
        <w:rPr>
          <w:rFonts w:ascii="Arial" w:cs="Arial" w:eastAsia="Arial" w:hAnsi="Arial"/>
          <w:sz w:val="21"/>
          <w:szCs w:val="21"/>
        </w:rPr>
        <w:t xml:space="preserve">But the CAF is architecturally different from the other modifiers. M_risk, M_loss, and M_exp are computed inside the pricing engine from YAML-configured bands. CAF is computed outside the pricing engine, by the World Engine, from the intelligence registry. It arrives at the pricing engine as an input, not as an internal calculation. The pricing engine does not know or care how it was derived. It simply multiplies.</w:t>
      </w:r>
    </w:p>
    <w:p>
      <w:pPr>
        <w:spacing w:after="160" w:line="276"/>
      </w:pPr>
      <w:r>
        <w:rPr>
          <w:rFonts w:ascii="Arial" w:cs="Arial" w:eastAsia="Arial" w:hAnsi="Arial"/>
          <w:sz w:val="21"/>
          <w:szCs w:val="21"/>
        </w:rPr>
        <w:t xml:space="preserve">This means the pricing engine remains deterministic and YAML-governed. The World Engine remains autonomous and self-governing. Neither contaminates the other. The audit trail shows both provenance chains independently.</w:t>
      </w:r>
    </w:p>
    <w:p>
      <w:r>
        <w:br w:type="page"/>
      </w:r>
    </w:p>
    <w:p>
      <w:pPr>
        <w:pStyle w:val="Heading1"/>
        <w:spacing w:after="200" w:before="360"/>
      </w:pPr>
      <w:r>
        <w:rPr>
          <w:rFonts w:ascii="Arial" w:cs="Arial" w:eastAsia="Arial" w:hAnsi="Arial"/>
          <w:b/>
          <w:bCs/>
          <w:color w:val="1B3A4B"/>
          <w:sz w:val="32"/>
          <w:szCs w:val="32"/>
        </w:rPr>
        <w:t xml:space="preserve">Part B: Portfolio Intelligence &amp; Simulation</w:t>
      </w:r>
    </w:p>
    <w:p>
      <w:pPr>
        <w:spacing w:after="160" w:line="276"/>
      </w:pPr>
      <w:r>
        <w:rPr>
          <w:rFonts w:ascii="Arial" w:cs="Arial" w:eastAsia="Arial" w:hAnsi="Arial"/>
          <w:sz w:val="21"/>
          <w:szCs w:val="21"/>
        </w:rPr>
        <w:t xml:space="preserve">The World Engine operates on the population of assessed entities. This makes it the natural home for portfolio-level intelligence — capabilities that no submission-level system can provide.</w:t>
      </w:r>
    </w:p>
    <w:p>
      <w:pPr>
        <w:pStyle w:val="Heading2"/>
        <w:spacing w:after="160" w:before="280"/>
      </w:pPr>
      <w:r>
        <w:rPr>
          <w:rFonts w:ascii="Arial" w:cs="Arial" w:eastAsia="Arial" w:hAnsi="Arial"/>
          <w:b/>
          <w:bCs/>
          <w:color w:val="2E75B6"/>
          <w:sz w:val="26"/>
          <w:szCs w:val="26"/>
        </w:rPr>
        <w:t xml:space="preserve">B.1 The Portfolio Graph</w:t>
      </w:r>
    </w:p>
    <w:p>
      <w:pPr>
        <w:spacing w:after="160" w:line="276"/>
      </w:pPr>
      <w:r>
        <w:rPr>
          <w:rFonts w:ascii="Arial" w:cs="Arial" w:eastAsia="Arial" w:hAnsi="Arial"/>
          <w:sz w:val="21"/>
          <w:szCs w:val="21"/>
        </w:rPr>
        <w:t xml:space="preserve">Every entity assessed by DSI has an Organisational Graph. The World Engine assembles these individual graphs into a Portfolio Graph — a composite graph that represents the relationships between all assessed entities in a given portfolio (defined by the commercial entity that wrote them).</w:t>
      </w:r>
    </w:p>
    <w:p>
      <w:pPr>
        <w:spacing w:after="160" w:line="276"/>
      </w:pPr>
      <w:r>
        <w:rPr>
          <w:rFonts w:ascii="Arial" w:cs="Arial" w:eastAsia="Arial" w:hAnsi="Arial"/>
          <w:sz w:val="21"/>
          <w:szCs w:val="21"/>
        </w:rPr>
        <w:t xml:space="preserve">The Portfolio Graph inherits the node and edge types from individual Organisational Graphs, but adds a critical new dimension: inter-entity edges. These represent relationships between entities that share:</w:t>
      </w:r>
    </w:p>
    <w:p>
      <w:pPr>
        <w:pStyle w:val="ListParagraph"/>
        <w:numPr>
          <w:ilvl w:val="0"/>
          <w:numId w:val="2"/>
        </w:numPr>
        <w:spacing w:after="100" w:line="276"/>
      </w:pPr>
      <w:r>
        <w:rPr>
          <w:rFonts w:ascii="Arial" w:cs="Arial" w:eastAsia="Arial" w:hAnsi="Arial"/>
          <w:b/>
          <w:bCs/>
          <w:sz w:val="21"/>
          <w:szCs w:val="21"/>
        </w:rPr>
        <w:t xml:space="preserve">Supply chain dependencies: </w:t>
      </w:r>
      <w:r>
        <w:rPr>
          <w:rFonts w:ascii="Arial" w:cs="Arial" w:eastAsia="Arial" w:hAnsi="Arial"/>
          <w:sz w:val="21"/>
          <w:szCs w:val="21"/>
        </w:rPr>
        <w:t xml:space="preserve">Entity A is a supplier to Entity B. Both are in the portfolio. A shock to A propagates to B.</w:t>
      </w:r>
    </w:p>
    <w:p>
      <w:pPr>
        <w:pStyle w:val="ListParagraph"/>
        <w:numPr>
          <w:ilvl w:val="0"/>
          <w:numId w:val="2"/>
        </w:numPr>
        <w:spacing w:after="100" w:line="276"/>
      </w:pPr>
      <w:r>
        <w:rPr>
          <w:rFonts w:ascii="Arial" w:cs="Arial" w:eastAsia="Arial" w:hAnsi="Arial"/>
          <w:b/>
          <w:bCs/>
          <w:sz w:val="21"/>
          <w:szCs w:val="21"/>
        </w:rPr>
        <w:t xml:space="preserve">Technology infrastructure: </w:t>
      </w:r>
      <w:r>
        <w:rPr>
          <w:rFonts w:ascii="Arial" w:cs="Arial" w:eastAsia="Arial" w:hAnsi="Arial"/>
          <w:sz w:val="21"/>
          <w:szCs w:val="21"/>
        </w:rPr>
        <w:t xml:space="preserve">Entities A, B, and C all depend on the same cloud provider. A provider outage is a correlated loss event.</w:t>
      </w:r>
    </w:p>
    <w:p>
      <w:pPr>
        <w:pStyle w:val="ListParagraph"/>
        <w:numPr>
          <w:ilvl w:val="0"/>
          <w:numId w:val="2"/>
        </w:numPr>
        <w:spacing w:after="100" w:line="276"/>
      </w:pPr>
      <w:r>
        <w:rPr>
          <w:rFonts w:ascii="Arial" w:cs="Arial" w:eastAsia="Arial" w:hAnsi="Arial"/>
          <w:b/>
          <w:bCs/>
          <w:sz w:val="21"/>
          <w:szCs w:val="21"/>
        </w:rPr>
        <w:t xml:space="preserve">Governance networks: </w:t>
      </w:r>
      <w:r>
        <w:rPr>
          <w:rFonts w:ascii="Arial" w:cs="Arial" w:eastAsia="Arial" w:hAnsi="Arial"/>
          <w:sz w:val="21"/>
          <w:szCs w:val="21"/>
        </w:rPr>
        <w:t xml:space="preserve">Shared board members, shared auditors, shared legal counsel. Governance failure at the nexus affects all connected entities.</w:t>
      </w:r>
    </w:p>
    <w:p>
      <w:pPr>
        <w:pStyle w:val="ListParagraph"/>
        <w:numPr>
          <w:ilvl w:val="0"/>
          <w:numId w:val="2"/>
        </w:numPr>
        <w:spacing w:after="100" w:line="276"/>
      </w:pPr>
      <w:r>
        <w:rPr>
          <w:rFonts w:ascii="Arial" w:cs="Arial" w:eastAsia="Arial" w:hAnsi="Arial"/>
          <w:b/>
          <w:bCs/>
          <w:sz w:val="21"/>
          <w:szCs w:val="21"/>
        </w:rPr>
        <w:t xml:space="preserve">Geographic concentration: </w:t>
      </w:r>
      <w:r>
        <w:rPr>
          <w:rFonts w:ascii="Arial" w:cs="Arial" w:eastAsia="Arial" w:hAnsi="Arial"/>
          <w:sz w:val="21"/>
          <w:szCs w:val="21"/>
        </w:rPr>
        <w:t xml:space="preserve">Entities clustered in the same regulatory jurisdiction or physical geography.</w:t>
      </w:r>
    </w:p>
    <w:p>
      <w:pPr>
        <w:pStyle w:val="ListParagraph"/>
        <w:numPr>
          <w:ilvl w:val="0"/>
          <w:numId w:val="2"/>
        </w:numPr>
        <w:spacing w:after="100" w:line="276"/>
      </w:pPr>
      <w:r>
        <w:rPr>
          <w:rFonts w:ascii="Arial" w:cs="Arial" w:eastAsia="Arial" w:hAnsi="Arial"/>
          <w:b/>
          <w:bCs/>
          <w:sz w:val="21"/>
          <w:szCs w:val="21"/>
        </w:rPr>
        <w:t xml:space="preserve">Causal pathway correlation: </w:t>
      </w:r>
      <w:r>
        <w:rPr>
          <w:rFonts w:ascii="Arial" w:cs="Arial" w:eastAsia="Arial" w:hAnsi="Arial"/>
          <w:sz w:val="21"/>
          <w:szCs w:val="21"/>
        </w:rPr>
        <w:t xml:space="preserve">Entities that the World Engine has identified as sharing causal precursor patterns — even if they have no visible operational relationship. This is the Engine’s unique contribution.</w:t>
      </w:r>
    </w:p>
    <w:p>
      <w:pPr>
        <w:spacing w:after="160" w:line="276"/>
      </w:pPr>
      <w:r>
        <w:rPr>
          <w:rFonts w:ascii="Arial" w:cs="Arial" w:eastAsia="Arial" w:hAnsi="Arial"/>
          <w:sz w:val="21"/>
          <w:szCs w:val="21"/>
        </w:rPr>
        <w:t xml:space="preserve">The Portfolio Graph is rebuilt incrementally as new entities are assessed or existing assessments are refreshed. It is a living structure that reflects the portfolio’s current state.</w:t>
      </w:r>
    </w:p>
    <w:p>
      <w:pPr>
        <w:pStyle w:val="Heading2"/>
        <w:spacing w:after="160" w:before="280"/>
      </w:pPr>
      <w:r>
        <w:rPr>
          <w:rFonts w:ascii="Arial" w:cs="Arial" w:eastAsia="Arial" w:hAnsi="Arial"/>
          <w:b/>
          <w:bCs/>
          <w:color w:val="2E75B6"/>
          <w:sz w:val="26"/>
          <w:szCs w:val="26"/>
        </w:rPr>
        <w:t xml:space="preserve">B.2 Concentration Intelligence</w:t>
      </w:r>
    </w:p>
    <w:p>
      <w:pPr>
        <w:spacing w:after="160" w:line="276"/>
      </w:pPr>
      <w:r>
        <w:rPr>
          <w:rFonts w:ascii="Arial" w:cs="Arial" w:eastAsia="Arial" w:hAnsi="Arial"/>
          <w:sz w:val="21"/>
          <w:szCs w:val="21"/>
        </w:rPr>
        <w:t xml:space="preserve">The most immediate portfolio capability: identify hidden concentration risk that is invisible at the submission level.</w:t>
      </w:r>
    </w:p>
    <w:p>
      <w:pPr>
        <w:spacing w:after="120" w:before="200"/>
      </w:pPr>
      <w:r>
        <w:rPr>
          <w:rFonts w:ascii="Arial" w:cs="Arial" w:eastAsia="Arial" w:hAnsi="Arial"/>
          <w:b/>
          <w:bCs/>
          <w:color w:val="1B3A4B"/>
          <w:sz w:val="22"/>
          <w:szCs w:val="22"/>
        </w:rPr>
        <w:t xml:space="preserve">How It Works</w:t>
      </w:r>
    </w:p>
    <w:p>
      <w:pPr>
        <w:spacing w:after="160" w:line="276"/>
      </w:pPr>
      <w:r>
        <w:rPr>
          <w:rFonts w:ascii="Arial" w:cs="Arial" w:eastAsia="Arial" w:hAnsi="Arial"/>
          <w:sz w:val="21"/>
          <w:szCs w:val="21"/>
        </w:rPr>
        <w:t xml:space="preserve">The Engine analyses the Portfolio Graph for concentration patterns across four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5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What It Detects</w:t>
            </w:r>
          </w:p>
        </w:tc>
        <w:tc>
          <w:tcPr>
            <w:tcW w:type="dxa" w:w="38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1"/>
                <w:szCs w:val="21"/>
              </w:rPr>
              <w:t xml:space="preserve">Node Concentration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Too many portfolio entities connected to a single external node (supplier, technology, jurisdiction)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47 entities depend on AWS us-east-1. A regional outage is a portfolio event, not 47 individual claims.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sz w:val="21"/>
                <w:szCs w:val="21"/>
              </w:rPr>
              <w:t xml:space="preserve">Pathway Concentration</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Too many entities sharing a validated causal pathway. If the precursor fires, correlated losses follow.</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23 entities show the governance-entropy → security-degradation precursor pattern simultaneously.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1"/>
                <w:szCs w:val="21"/>
              </w:rPr>
              <w:t xml:space="preserve">Derivative Correlation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Portfolio-level derivative values (entropy, velocity, drift) moving in the same direction across multiple entities.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Average portfolio entropy has increased 15% over 3 months. This is a systemic trend, not idiosyncratic.</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sz w:val="21"/>
                <w:szCs w:val="21"/>
              </w:rPr>
              <w:t xml:space="preserve">Cohort Concentration</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Over-representation of a specific signal-derived cohort in the portfolio.</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62% of the portfolio belongs to the “Tech Growth Immature Governance” cohort. Adverse selection risk.</w:t>
            </w:r>
          </w:p>
        </w:tc>
      </w:tr>
    </w:tbl>
    <w:p>
      <w:pPr>
        <w:spacing w:after="80"/>
      </w:pPr>
    </w:p>
    <w:p>
      <w:pPr>
        <w:spacing w:after="120" w:before="200"/>
      </w:pPr>
      <w:r>
        <w:rPr>
          <w:rFonts w:ascii="Arial" w:cs="Arial" w:eastAsia="Arial" w:hAnsi="Arial"/>
          <w:b/>
          <w:bCs/>
          <w:color w:val="1B3A4B"/>
          <w:sz w:val="22"/>
          <w:szCs w:val="22"/>
        </w:rPr>
        <w:t xml:space="preserve">How It Feeds Back</w:t>
      </w:r>
    </w:p>
    <w:p>
      <w:pPr>
        <w:spacing w:after="160" w:line="276"/>
      </w:pPr>
      <w:r>
        <w:rPr>
          <w:rFonts w:ascii="Arial" w:cs="Arial" w:eastAsia="Arial" w:hAnsi="Arial"/>
          <w:sz w:val="21"/>
          <w:szCs w:val="21"/>
        </w:rPr>
        <w:t xml:space="preserve">Concentration intelligence feeds into the Commercial Entity layer through two mechanisms:</w:t>
      </w:r>
    </w:p>
    <w:p>
      <w:pPr>
        <w:pStyle w:val="ListParagraph"/>
        <w:numPr>
          <w:ilvl w:val="0"/>
          <w:numId w:val="3"/>
        </w:numPr>
        <w:spacing w:after="100" w:line="276"/>
      </w:pPr>
      <w:r>
        <w:rPr>
          <w:rFonts w:ascii="Arial" w:cs="Arial" w:eastAsia="Arial" w:hAnsi="Arial"/>
          <w:b/>
          <w:bCs/>
          <w:sz w:val="21"/>
          <w:szCs w:val="21"/>
        </w:rPr>
        <w:t xml:space="preserve">Appetite constraint enrichment: </w:t>
      </w:r>
      <w:r>
        <w:rPr>
          <w:rFonts w:ascii="Arial" w:cs="Arial" w:eastAsia="Arial" w:hAnsi="Arial"/>
          <w:sz w:val="21"/>
          <w:szCs w:val="21"/>
        </w:rPr>
        <w:t xml:space="preserve">The Engine publishes portfolio concentration alerts to the intelligence registry. The appetite evaluation function (</w:t>
      </w:r>
      <w:r>
        <w:rPr>
          <w:rFonts w:ascii="Courier New" w:cs="Courier New" w:eastAsia="Courier New" w:hAnsi="Courier New"/>
          <w:sz w:val="20"/>
          <w:szCs w:val="20"/>
        </w:rPr>
        <w:t xml:space="preserve">evaluate_appetite()</w:t>
      </w:r>
      <w:r>
        <w:rPr>
          <w:rFonts w:ascii="Arial" w:cs="Arial" w:eastAsia="Arial" w:hAnsi="Arial"/>
          <w:sz w:val="21"/>
          <w:szCs w:val="21"/>
        </w:rPr>
        <w:t xml:space="preserve">) queries the registry when processing a new submission. If accepting this risk would increase concentration on a flagged pathway beyond a threshold, the appetite evaluation can flag, load, or decline — before pricing even runs.</w:t>
      </w:r>
    </w:p>
    <w:p>
      <w:pPr>
        <w:pStyle w:val="ListParagraph"/>
        <w:numPr>
          <w:ilvl w:val="0"/>
          <w:numId w:val="3"/>
        </w:numPr>
        <w:spacing w:after="100" w:line="276"/>
      </w:pPr>
      <w:r>
        <w:rPr>
          <w:rFonts w:ascii="Arial" w:cs="Arial" w:eastAsia="Arial" w:hAnsi="Arial"/>
          <w:b/>
          <w:bCs/>
          <w:sz w:val="21"/>
          <w:szCs w:val="21"/>
        </w:rPr>
        <w:t xml:space="preserve">Portfolio-level pricing adjustment: </w:t>
      </w:r>
      <w:r>
        <w:rPr>
          <w:rFonts w:ascii="Arial" w:cs="Arial" w:eastAsia="Arial" w:hAnsi="Arial"/>
          <w:sz w:val="21"/>
          <w:szCs w:val="21"/>
        </w:rPr>
        <w:t xml:space="preserve">For entities that contribute to concentration risk, the CAF can incorporate a portfolio-aware component. An entity that is individually Tier 2 but sits at the centre of a concentration cluster receives a higher CAF than the same entity would in a diversified portfolio. The concentration dimension is a property of the entity’s position in the Portfolio Graph, not just its own Organisational Graph.</w:t>
      </w:r>
    </w:p>
    <w:p>
      <w:pPr>
        <w:pStyle w:val="Heading2"/>
        <w:spacing w:after="160" w:before="280"/>
      </w:pPr>
      <w:r>
        <w:rPr>
          <w:rFonts w:ascii="Arial" w:cs="Arial" w:eastAsia="Arial" w:hAnsi="Arial"/>
          <w:b/>
          <w:bCs/>
          <w:color w:val="2E75B6"/>
          <w:sz w:val="26"/>
          <w:szCs w:val="26"/>
        </w:rPr>
        <w:t xml:space="preserve">B.3 Scenario Simulation</w:t>
      </w:r>
    </w:p>
    <w:p>
      <w:pPr>
        <w:spacing w:after="160" w:line="276"/>
      </w:pPr>
      <w:r>
        <w:rPr>
          <w:rFonts w:ascii="Arial" w:cs="Arial" w:eastAsia="Arial" w:hAnsi="Arial"/>
          <w:sz w:val="21"/>
          <w:szCs w:val="21"/>
        </w:rPr>
        <w:t xml:space="preserve">The second portfolio capability: simulate the impact of hypothetical events on the portfolio before they occur. This is the counterfactual simulation described in the visionpaper, made concrete.</w:t>
      </w:r>
    </w:p>
    <w:p>
      <w:pPr>
        <w:spacing w:after="120" w:before="200"/>
      </w:pPr>
      <w:r>
        <w:rPr>
          <w:rFonts w:ascii="Arial" w:cs="Arial" w:eastAsia="Arial" w:hAnsi="Arial"/>
          <w:b/>
          <w:bCs/>
          <w:color w:val="1B3A4B"/>
          <w:sz w:val="22"/>
          <w:szCs w:val="22"/>
        </w:rPr>
        <w:t xml:space="preserve">The Scenario API</w:t>
      </w:r>
    </w:p>
    <w:p>
      <w:pPr>
        <w:spacing w:after="160" w:line="276"/>
      </w:pPr>
      <w:r>
        <w:rPr>
          <w:rFonts w:ascii="Arial" w:cs="Arial" w:eastAsia="Arial" w:hAnsi="Arial"/>
          <w:sz w:val="21"/>
          <w:szCs w:val="21"/>
        </w:rPr>
        <w:t xml:space="preserve">The World Engine exposes a simulation API that accepts a scenario definition and returns a portfolio impact assessment:</w:t>
      </w:r>
    </w:p>
    <w:p>
      <w:pPr>
        <w:spacing w:after="120" w:before="200"/>
      </w:pPr>
      <w:r>
        <w:rPr>
          <w:rFonts w:ascii="Arial" w:cs="Arial" w:eastAsia="Arial" w:hAnsi="Arial"/>
          <w:b/>
          <w:bCs/>
          <w:color w:val="1B3A4B"/>
          <w:sz w:val="22"/>
          <w:szCs w:val="22"/>
        </w:rPr>
        <w:t xml:space="preserve">Input: Scenario Definition</w:t>
      </w:r>
    </w:p>
    <w:p>
      <w:pPr>
        <w:pStyle w:val="ListParagraph"/>
        <w:numPr>
          <w:ilvl w:val="0"/>
          <w:numId w:val="2"/>
        </w:numPr>
        <w:spacing w:after="100" w:line="276"/>
      </w:pPr>
      <w:r>
        <w:rPr>
          <w:rFonts w:ascii="Arial" w:cs="Arial" w:eastAsia="Arial" w:hAnsi="Arial"/>
          <w:b/>
          <w:bCs/>
          <w:sz w:val="21"/>
          <w:szCs w:val="21"/>
        </w:rPr>
        <w:t xml:space="preserve">Shock type: </w:t>
      </w:r>
      <w:r>
        <w:rPr>
          <w:rFonts w:ascii="Arial" w:cs="Arial" w:eastAsia="Arial" w:hAnsi="Arial"/>
          <w:sz w:val="21"/>
          <w:szCs w:val="21"/>
        </w:rPr>
        <w:t xml:space="preserve">A signal perturbation, a node failure, a derivative spike, a regulatory change, a vulnerability disclosure.</w:t>
      </w:r>
    </w:p>
    <w:p>
      <w:pPr>
        <w:pStyle w:val="ListParagraph"/>
        <w:numPr>
          <w:ilvl w:val="0"/>
          <w:numId w:val="2"/>
        </w:numPr>
        <w:spacing w:after="100" w:line="276"/>
      </w:pPr>
      <w:r>
        <w:rPr>
          <w:rFonts w:ascii="Arial" w:cs="Arial" w:eastAsia="Arial" w:hAnsi="Arial"/>
          <w:b/>
          <w:bCs/>
          <w:sz w:val="21"/>
          <w:szCs w:val="21"/>
        </w:rPr>
        <w:t xml:space="preserve">Shock magnitude: </w:t>
      </w:r>
      <w:r>
        <w:rPr>
          <w:rFonts w:ascii="Arial" w:cs="Arial" w:eastAsia="Arial" w:hAnsi="Arial"/>
          <w:sz w:val="21"/>
          <w:szCs w:val="21"/>
        </w:rPr>
        <w:t xml:space="preserve">How severe is the event? A 10-point drop in a signal score, a complete node failure, a regulatory enforcement action.</w:t>
      </w:r>
    </w:p>
    <w:p>
      <w:pPr>
        <w:pStyle w:val="ListParagraph"/>
        <w:numPr>
          <w:ilvl w:val="0"/>
          <w:numId w:val="2"/>
        </w:numPr>
        <w:spacing w:after="100" w:line="276"/>
      </w:pPr>
      <w:r>
        <w:rPr>
          <w:rFonts w:ascii="Arial" w:cs="Arial" w:eastAsia="Arial" w:hAnsi="Arial"/>
          <w:b/>
          <w:bCs/>
          <w:sz w:val="21"/>
          <w:szCs w:val="21"/>
        </w:rPr>
        <w:t xml:space="preserve">Propagation rules: </w:t>
      </w:r>
      <w:r>
        <w:rPr>
          <w:rFonts w:ascii="Arial" w:cs="Arial" w:eastAsia="Arial" w:hAnsi="Arial"/>
          <w:sz w:val="21"/>
          <w:szCs w:val="21"/>
        </w:rPr>
        <w:t xml:space="preserve">How does the shock travel through the causal graph? Direct edges only, or multi-hop propagation? With what decay rate?</w:t>
      </w:r>
    </w:p>
    <w:p>
      <w:pPr>
        <w:spacing w:after="120" w:before="200"/>
      </w:pPr>
      <w:r>
        <w:rPr>
          <w:rFonts w:ascii="Arial" w:cs="Arial" w:eastAsia="Arial" w:hAnsi="Arial"/>
          <w:b/>
          <w:bCs/>
          <w:color w:val="1B3A4B"/>
          <w:sz w:val="22"/>
          <w:szCs w:val="22"/>
        </w:rPr>
        <w:t xml:space="preserve">Process: Graph Propagation</w:t>
      </w:r>
    </w:p>
    <w:p>
      <w:pPr>
        <w:spacing w:after="160" w:line="276"/>
      </w:pPr>
      <w:r>
        <w:rPr>
          <w:rFonts w:ascii="Arial" w:cs="Arial" w:eastAsia="Arial" w:hAnsi="Arial"/>
          <w:sz w:val="21"/>
          <w:szCs w:val="21"/>
        </w:rPr>
        <w:t xml:space="preserve">The Engine takes the scenario, applies the shock to the Portfolio Graph, and propagates it through the validated causal relationships:</w:t>
      </w:r>
    </w:p>
    <w:p>
      <w:pPr>
        <w:pStyle w:val="ListParagraph"/>
        <w:numPr>
          <w:ilvl w:val="0"/>
          <w:numId w:val="3"/>
        </w:numPr>
        <w:spacing w:after="100" w:line="276"/>
      </w:pPr>
      <w:r>
        <w:rPr>
          <w:rFonts w:ascii="Arial" w:cs="Arial" w:eastAsia="Arial" w:hAnsi="Arial"/>
          <w:b/>
          <w:bCs/>
          <w:sz w:val="21"/>
          <w:szCs w:val="21"/>
        </w:rPr>
        <w:t xml:space="preserve">Identify affected nodes: </w:t>
      </w:r>
      <w:r>
        <w:rPr>
          <w:rFonts w:ascii="Arial" w:cs="Arial" w:eastAsia="Arial" w:hAnsi="Arial"/>
          <w:sz w:val="21"/>
          <w:szCs w:val="21"/>
        </w:rPr>
        <w:t xml:space="preserve">Which entities in the portfolio are directly connected to the shock source?</w:t>
      </w:r>
    </w:p>
    <w:p>
      <w:pPr>
        <w:pStyle w:val="ListParagraph"/>
        <w:numPr>
          <w:ilvl w:val="0"/>
          <w:numId w:val="3"/>
        </w:numPr>
        <w:spacing w:after="100" w:line="276"/>
      </w:pPr>
      <w:r>
        <w:rPr>
          <w:rFonts w:ascii="Arial" w:cs="Arial" w:eastAsia="Arial" w:hAnsi="Arial"/>
          <w:b/>
          <w:bCs/>
          <w:sz w:val="21"/>
          <w:szCs w:val="21"/>
        </w:rPr>
        <w:t xml:space="preserve">Compute first-order impact: </w:t>
      </w:r>
      <w:r>
        <w:rPr>
          <w:rFonts w:ascii="Arial" w:cs="Arial" w:eastAsia="Arial" w:hAnsi="Arial"/>
          <w:sz w:val="21"/>
          <w:szCs w:val="21"/>
        </w:rPr>
        <w:t xml:space="preserve">For each directly affected entity, what is the implied signal degradation based on the causal relationship’s strength and lag?</w:t>
      </w:r>
    </w:p>
    <w:p>
      <w:pPr>
        <w:pStyle w:val="ListParagraph"/>
        <w:numPr>
          <w:ilvl w:val="0"/>
          <w:numId w:val="3"/>
        </w:numPr>
        <w:spacing w:after="100" w:line="276"/>
      </w:pPr>
      <w:r>
        <w:rPr>
          <w:rFonts w:ascii="Arial" w:cs="Arial" w:eastAsia="Arial" w:hAnsi="Arial"/>
          <w:b/>
          <w:bCs/>
          <w:sz w:val="21"/>
          <w:szCs w:val="21"/>
        </w:rPr>
        <w:t xml:space="preserve">Propagate through causal paths: </w:t>
      </w:r>
      <w:r>
        <w:rPr>
          <w:rFonts w:ascii="Arial" w:cs="Arial" w:eastAsia="Arial" w:hAnsi="Arial"/>
          <w:sz w:val="21"/>
          <w:szCs w:val="21"/>
        </w:rPr>
        <w:t xml:space="preserve">For entities connected to affected entities through further causal paths, compute second-order and third-order impacts with appropriate decay.</w:t>
      </w:r>
    </w:p>
    <w:p>
      <w:pPr>
        <w:pStyle w:val="ListParagraph"/>
        <w:numPr>
          <w:ilvl w:val="0"/>
          <w:numId w:val="3"/>
        </w:numPr>
        <w:spacing w:after="100" w:line="276"/>
      </w:pPr>
      <w:r>
        <w:rPr>
          <w:rFonts w:ascii="Arial" w:cs="Arial" w:eastAsia="Arial" w:hAnsi="Arial"/>
          <w:b/>
          <w:bCs/>
          <w:sz w:val="21"/>
          <w:szCs w:val="21"/>
        </w:rPr>
        <w:t xml:space="preserve">Estimate loss distribution: </w:t>
      </w:r>
      <w:r>
        <w:rPr>
          <w:rFonts w:ascii="Arial" w:cs="Arial" w:eastAsia="Arial" w:hAnsi="Arial"/>
          <w:sz w:val="21"/>
          <w:szCs w:val="21"/>
        </w:rPr>
        <w:t xml:space="preserve">For each affected entity, compute the implied tier migration and loss propensity shift. Aggregate across the portfolio to produce a loss distribution.</w:t>
      </w:r>
    </w:p>
    <w:p>
      <w:pPr>
        <w:spacing w:after="120" w:before="200"/>
      </w:pPr>
      <w:r>
        <w:rPr>
          <w:rFonts w:ascii="Arial" w:cs="Arial" w:eastAsia="Arial" w:hAnsi="Arial"/>
          <w:b/>
          <w:bCs/>
          <w:color w:val="1B3A4B"/>
          <w:sz w:val="22"/>
          <w:szCs w:val="22"/>
        </w:rPr>
        <w:t xml:space="preserve">Output: Portfolio Impact Assessment</w:t>
      </w:r>
    </w:p>
    <w:p>
      <w:pPr>
        <w:pStyle w:val="ListParagraph"/>
        <w:numPr>
          <w:ilvl w:val="0"/>
          <w:numId w:val="2"/>
        </w:numPr>
        <w:spacing w:after="100" w:line="276"/>
      </w:pPr>
      <w:r>
        <w:rPr>
          <w:rFonts w:ascii="Arial" w:cs="Arial" w:eastAsia="Arial" w:hAnsi="Arial"/>
          <w:b/>
          <w:bCs/>
          <w:sz w:val="21"/>
          <w:szCs w:val="21"/>
        </w:rPr>
        <w:t xml:space="preserve">Entity-level impact list: </w:t>
      </w:r>
      <w:r>
        <w:rPr>
          <w:rFonts w:ascii="Arial" w:cs="Arial" w:eastAsia="Arial" w:hAnsi="Arial"/>
          <w:sz w:val="21"/>
          <w:szCs w:val="21"/>
        </w:rPr>
        <w:t xml:space="preserve">Every affected entity, ranked by severity, with the causal pathway through which the shock reaches them.</w:t>
      </w:r>
    </w:p>
    <w:p>
      <w:pPr>
        <w:pStyle w:val="ListParagraph"/>
        <w:numPr>
          <w:ilvl w:val="0"/>
          <w:numId w:val="2"/>
        </w:numPr>
        <w:spacing w:after="100" w:line="276"/>
      </w:pPr>
      <w:r>
        <w:rPr>
          <w:rFonts w:ascii="Arial" w:cs="Arial" w:eastAsia="Arial" w:hAnsi="Arial"/>
          <w:b/>
          <w:bCs/>
          <w:sz w:val="21"/>
          <w:szCs w:val="21"/>
        </w:rPr>
        <w:t xml:space="preserve">Aggregate loss estimate: </w:t>
      </w:r>
      <w:r>
        <w:rPr>
          <w:rFonts w:ascii="Arial" w:cs="Arial" w:eastAsia="Arial" w:hAnsi="Arial"/>
          <w:sz w:val="21"/>
          <w:szCs w:val="21"/>
        </w:rPr>
        <w:t xml:space="preserve">Expected loss range (with confidence intervals) across the portfolio.</w:t>
      </w:r>
    </w:p>
    <w:p>
      <w:pPr>
        <w:pStyle w:val="ListParagraph"/>
        <w:numPr>
          <w:ilvl w:val="0"/>
          <w:numId w:val="2"/>
        </w:numPr>
        <w:spacing w:after="100" w:line="276"/>
      </w:pPr>
      <w:r>
        <w:rPr>
          <w:rFonts w:ascii="Arial" w:cs="Arial" w:eastAsia="Arial" w:hAnsi="Arial"/>
          <w:b/>
          <w:bCs/>
          <w:sz w:val="21"/>
          <w:szCs w:val="21"/>
        </w:rPr>
        <w:t xml:space="preserve">Concentration amplification: </w:t>
      </w:r>
      <w:r>
        <w:rPr>
          <w:rFonts w:ascii="Arial" w:cs="Arial" w:eastAsia="Arial" w:hAnsi="Arial"/>
          <w:sz w:val="21"/>
          <w:szCs w:val="21"/>
        </w:rPr>
        <w:t xml:space="preserve">How much worse is the impact because of portfolio concentration versus what it would be in a perfectly diversified book?</w:t>
      </w:r>
    </w:p>
    <w:p>
      <w:pPr>
        <w:pStyle w:val="ListParagraph"/>
        <w:numPr>
          <w:ilvl w:val="0"/>
          <w:numId w:val="2"/>
        </w:numPr>
        <w:spacing w:after="100" w:line="276"/>
      </w:pPr>
      <w:r>
        <w:rPr>
          <w:rFonts w:ascii="Arial" w:cs="Arial" w:eastAsia="Arial" w:hAnsi="Arial"/>
          <w:b/>
          <w:bCs/>
          <w:sz w:val="21"/>
          <w:szCs w:val="21"/>
        </w:rPr>
        <w:t xml:space="preserve">Mitigation paths: </w:t>
      </w:r>
      <w:r>
        <w:rPr>
          <w:rFonts w:ascii="Arial" w:cs="Arial" w:eastAsia="Arial" w:hAnsi="Arial"/>
          <w:sz w:val="21"/>
          <w:szCs w:val="21"/>
        </w:rPr>
        <w:t xml:space="preserve">Which specific entities, if remediated or non-renewed, would most reduce the portfolio’s exposure to this scenario?</w:t>
      </w:r>
    </w:p>
    <w:p>
      <w:pPr>
        <w:pStyle w:val="Heading2"/>
        <w:spacing w:after="160" w:before="280"/>
      </w:pPr>
      <w:r>
        <w:rPr>
          <w:rFonts w:ascii="Arial" w:cs="Arial" w:eastAsia="Arial" w:hAnsi="Arial"/>
          <w:b/>
          <w:bCs/>
          <w:color w:val="2E75B6"/>
          <w:sz w:val="26"/>
          <w:szCs w:val="26"/>
        </w:rPr>
        <w:t xml:space="preserve">B.4 Use Cases</w:t>
      </w:r>
    </w:p>
    <w:p>
      <w:pPr>
        <w:spacing w:after="160" w:line="276"/>
      </w:pPr>
      <w:r>
        <w:rPr>
          <w:rFonts w:ascii="Arial" w:cs="Arial" w:eastAsia="Arial" w:hAnsi="Arial"/>
          <w:sz w:val="21"/>
          <w:szCs w:val="21"/>
        </w:rPr>
        <w:t xml:space="preserve">The portfolio simulation capability serves multiple audiences: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Audience</w:t>
            </w:r>
          </w:p>
        </w:tc>
        <w:tc>
          <w:tcPr>
            <w:tcW w:type="dxa" w:w="30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45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Example Scenario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1"/>
                <w:szCs w:val="21"/>
              </w:rPr>
              <w:t xml:space="preserve">Underwriter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Marginal impact analysis. What happens to the portfolio if I add this risk?</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New submission from a tech company dependent on the same supply chain as 30 existing risks. Simulation shows correlated loss potential.</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sz w:val="21"/>
                <w:szCs w:val="21"/>
              </w:rPr>
              <w:t xml:space="preserve">Portfolio Manager</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Stress testing. What is our exposure to a specific macro event?</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A major cloud provider outage. Simulation propagates through technology dependency edges and estimates aggregate portfolio loss.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1"/>
                <w:szCs w:val="21"/>
              </w:rPr>
              <w:t xml:space="preserve">CRO / Capital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Capital allocation. Where is our concentration risk and how much capital should we hold against it?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Regulatory change in a key jurisdiction. Simulation identifies all entities exposed through the regulatory edge type and estimates capital impact.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sz w:val="21"/>
                <w:szCs w:val="21"/>
              </w:rPr>
              <w:t xml:space="preserve">Reinsurer</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Treaty evaluation. What is the hidden correlation in a cedant’s book?</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Cedant presents a portfolio of 200 risks. Simulation reveals that 40% share a technology dependency that creates correlated loss exposure invisible from the risk list.</w:t>
            </w:r>
          </w:p>
        </w:tc>
      </w:tr>
    </w:tbl>
    <w:p>
      <w:r>
        <w:br w:type="page"/>
      </w:r>
    </w:p>
    <w:p>
      <w:pPr>
        <w:pStyle w:val="Heading1"/>
        <w:spacing w:after="200" w:before="360"/>
      </w:pPr>
      <w:r>
        <w:rPr>
          <w:rFonts w:ascii="Arial" w:cs="Arial" w:eastAsia="Arial" w:hAnsi="Arial"/>
          <w:b/>
          <w:bCs/>
          <w:color w:val="1B3A4B"/>
          <w:sz w:val="32"/>
          <w:szCs w:val="32"/>
        </w:rPr>
        <w:t xml:space="preserve">Part C: The Complete Architecture</w:t>
      </w:r>
    </w:p>
    <w:p>
      <w:pPr>
        <w:spacing w:after="160" w:line="276"/>
      </w:pPr>
      <w:r>
        <w:rPr>
          <w:rFonts w:ascii="Arial" w:cs="Arial" w:eastAsia="Arial" w:hAnsi="Arial"/>
          <w:sz w:val="21"/>
          <w:szCs w:val="21"/>
        </w:rPr>
        <w:t xml:space="preserve">With the pricing integration and portfolio simulation defined, the full DSI architecture comprises three independent layers, each with distinct inputs, processing, and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600"/>
        <w:gridCol w:w="1800"/>
        <w:gridCol w:w="1760"/>
      </w:tblGrid>
      <w:tr>
        <w:tc>
          <w:tcPr>
            <w:tcW w:type="dxa" w:w="12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0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26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Processing</w:t>
            </w:r>
          </w:p>
        </w:tc>
        <w:tc>
          <w:tcPr>
            <w:tcW w:type="dxa" w:w="18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17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Scope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1"/>
                <w:szCs w:val="21"/>
              </w:rPr>
              <w:t xml:space="preserve">Coverage Config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Submission + Signals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Weighted composites, tier assignment, ILF, modifiers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P_static (USD)</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Single risk</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sz w:val="21"/>
                <w:szCs w:val="21"/>
              </w:rPr>
              <w:t xml:space="preserve">Commercial Entity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P_static + Entity terms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FX, distribution, commission, taxes, discretion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Offered premium (local)</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Single risk</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E85D26"/>
                <w:sz w:val="21"/>
                <w:szCs w:val="21"/>
              </w:rPr>
              <w:t xml:space="preserve">World Engine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All assessments + causal graph</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Causal traversal, trajectory synthesis, portfolio simulation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CAF + Portfolio Intelligence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All risks</w:t>
            </w:r>
          </w:p>
        </w:tc>
      </w:tr>
    </w:tbl>
    <w:p>
      <w:pPr>
        <w:spacing w:after="80"/>
      </w:pPr>
    </w:p>
    <w:p>
      <w:pPr>
        <w:spacing w:after="160" w:line="276"/>
      </w:pPr>
      <w:r>
        <w:rPr>
          <w:rFonts w:ascii="Arial" w:cs="Arial" w:eastAsia="Arial" w:hAnsi="Arial"/>
          <w:sz w:val="21"/>
          <w:szCs w:val="21"/>
        </w:rPr>
        <w:t xml:space="preserve">The data flow for a single submission is now:</w:t>
      </w:r>
    </w:p>
    <w:p>
      <w:pPr>
        <w:pStyle w:val="ListParagraph"/>
        <w:numPr>
          <w:ilvl w:val="0"/>
          <w:numId w:val="3"/>
        </w:numPr>
        <w:spacing w:after="100" w:line="276"/>
      </w:pPr>
      <w:r>
        <w:rPr>
          <w:rFonts w:ascii="Arial" w:cs="Arial" w:eastAsia="Arial" w:hAnsi="Arial"/>
          <w:sz w:val="21"/>
          <w:szCs w:val="21"/>
        </w:rPr>
        <w:t xml:space="preserve">Signals are extracted and scored (Layer 1)</w:t>
      </w:r>
    </w:p>
    <w:p>
      <w:pPr>
        <w:pStyle w:val="ListParagraph"/>
        <w:numPr>
          <w:ilvl w:val="0"/>
          <w:numId w:val="3"/>
        </w:numPr>
        <w:spacing w:after="100" w:line="276"/>
      </w:pPr>
      <w:r>
        <w:rPr>
          <w:rFonts w:ascii="Arial" w:cs="Arial" w:eastAsia="Arial" w:hAnsi="Arial"/>
          <w:sz w:val="21"/>
          <w:szCs w:val="21"/>
        </w:rPr>
        <w:t xml:space="preserve">Static pricing produces P_static (Layer 1)</w:t>
      </w:r>
    </w:p>
    <w:p>
      <w:pPr>
        <w:pStyle w:val="ListParagraph"/>
        <w:numPr>
          <w:ilvl w:val="0"/>
          <w:numId w:val="3"/>
        </w:numPr>
        <w:spacing w:after="100" w:line="276"/>
      </w:pPr>
      <w:r>
        <w:rPr>
          <w:rFonts w:ascii="Arial" w:cs="Arial" w:eastAsia="Arial" w:hAnsi="Arial"/>
          <w:sz w:val="21"/>
          <w:szCs w:val="21"/>
        </w:rPr>
        <w:t xml:space="preserve">World Engine evaluates entity against causal graph, produces CAF (Layer 3)</w:t>
      </w:r>
    </w:p>
    <w:p>
      <w:pPr>
        <w:pStyle w:val="ListParagraph"/>
        <w:numPr>
          <w:ilvl w:val="0"/>
          <w:numId w:val="3"/>
        </w:numPr>
        <w:spacing w:after="100" w:line="276"/>
      </w:pPr>
      <w:r>
        <w:rPr>
          <w:rFonts w:ascii="Arial" w:cs="Arial" w:eastAsia="Arial" w:hAnsi="Arial"/>
          <w:sz w:val="21"/>
          <w:szCs w:val="21"/>
        </w:rPr>
        <w:t xml:space="preserve">World Engine evaluates portfolio impact of accepting this risk (Layer 3)</w:t>
      </w:r>
    </w:p>
    <w:p>
      <w:pPr>
        <w:pStyle w:val="ListParagraph"/>
        <w:numPr>
          <w:ilvl w:val="0"/>
          <w:numId w:val="3"/>
        </w:numPr>
        <w:spacing w:after="100" w:line="276"/>
      </w:pPr>
      <w:r>
        <w:rPr>
          <w:rFonts w:ascii="Arial" w:cs="Arial" w:eastAsia="Arial" w:hAnsi="Arial"/>
          <w:sz w:val="21"/>
          <w:szCs w:val="21"/>
        </w:rPr>
        <w:t xml:space="preserve">P_final = P_static × CAF (reconciliation)</w:t>
      </w:r>
    </w:p>
    <w:p>
      <w:pPr>
        <w:pStyle w:val="ListParagraph"/>
        <w:numPr>
          <w:ilvl w:val="0"/>
          <w:numId w:val="3"/>
        </w:numPr>
        <w:spacing w:after="100" w:line="276"/>
      </w:pPr>
      <w:r>
        <w:rPr>
          <w:rFonts w:ascii="Arial" w:cs="Arial" w:eastAsia="Arial" w:hAnsi="Arial"/>
          <w:sz w:val="21"/>
          <w:szCs w:val="21"/>
        </w:rPr>
        <w:t xml:space="preserve">Commercial assembly produces offered premium (Layer 2)</w:t>
      </w:r>
    </w:p>
    <w:p>
      <w:pPr>
        <w:pStyle w:val="ListParagraph"/>
        <w:numPr>
          <w:ilvl w:val="0"/>
          <w:numId w:val="3"/>
        </w:numPr>
        <w:spacing w:after="100" w:line="276"/>
      </w:pPr>
      <w:r>
        <w:rPr>
          <w:rFonts w:ascii="Arial" w:cs="Arial" w:eastAsia="Arial" w:hAnsi="Arial"/>
          <w:sz w:val="21"/>
          <w:szCs w:val="21"/>
        </w:rPr>
        <w:t xml:space="preserve">Portfolio concentration alert attached if applicable (Layer 3 → Layer 2)</w:t>
      </w:r>
    </w:p>
    <w:p>
      <w:pPr>
        <w:spacing w:after="160" w:line="276"/>
      </w:pPr>
      <w:r>
        <w:rPr>
          <w:rFonts w:ascii="Arial" w:cs="Arial" w:eastAsia="Arial" w:hAnsi="Arial"/>
          <w:sz w:val="21"/>
          <w:szCs w:val="21"/>
        </w:rPr>
        <w:t xml:space="preserve">Steps 3 and 4 run in parallel with Step 2 — they do not sit in the critical path of the pricing engine. If the World Engine is unavailable or has insufficient data (Seed maturity stage), the CAF defaults to 1.0 and no portfolio intelligence is attached. The pricing pipeline degrades gracefully.</w:t>
      </w:r>
    </w:p>
    <w:p>
      <w:pPr>
        <w:spacing w:after="80"/>
      </w:pPr>
    </w:p>
    <w:p>
      <w:pPr>
        <w:pBdr>
          <w:top w:val="single" w:color="E85D26" w:sz="4" w:space="8"/>
        </w:pBdr>
        <w:spacing w:after="200" w:before="300"/>
      </w:pPr>
      <w:r>
        <w:rPr>
          <w:rFonts w:ascii="Arial" w:cs="Arial" w:eastAsia="Arial" w:hAnsi="Arial"/>
          <w:b/>
          <w:bCs/>
          <w:color w:val="1B3A4B"/>
          <w:sz w:val="28"/>
          <w:szCs w:val="28"/>
        </w:rPr>
        <w:t xml:space="preserve">Conclusion</w:t>
      </w:r>
    </w:p>
    <w:p>
      <w:pPr>
        <w:spacing w:after="160" w:line="276"/>
      </w:pPr>
      <w:r>
        <w:rPr>
          <w:rFonts w:ascii="Arial" w:cs="Arial" w:eastAsia="Arial" w:hAnsi="Arial"/>
          <w:sz w:val="21"/>
          <w:szCs w:val="21"/>
        </w:rPr>
        <w:t xml:space="preserve">The pricing layer’s limitation was structural: a linear formula cannot express non-linear causal intelligence. The solution is not to make the formula more complex. It is to run the causal intelligence as a parallel dimension that produces a single, auditable output — the Causal Adjustment Factor — which the existing formula multiplies.</w:t>
      </w:r>
    </w:p>
    <w:p>
      <w:pPr>
        <w:spacing w:after="160" w:line="276"/>
      </w:pPr>
      <w:r>
        <w:rPr>
          <w:rFonts w:ascii="Arial" w:cs="Arial" w:eastAsia="Arial" w:hAnsi="Arial"/>
          <w:sz w:val="21"/>
          <w:szCs w:val="21"/>
        </w:rPr>
        <w:t xml:space="preserve">The portfolio limitation was architectural: a submission-level system cannot think about portfolios. The solution is the Portfolio Graph and the Scenario Simulation API, which sit in the World Engine and publish intelligence to both the pricing and commercial layers.</w:t>
      </w:r>
    </w:p>
    <w:p>
      <w:pPr>
        <w:spacing w:after="160" w:line="276"/>
      </w:pPr>
      <w:r>
        <w:rPr>
          <w:rFonts w:ascii="Arial" w:cs="Arial" w:eastAsia="Arial" w:hAnsi="Arial"/>
          <w:sz w:val="21"/>
          <w:szCs w:val="21"/>
        </w:rPr>
        <w:t xml:space="preserve">The static scoring says: </w:t>
      </w:r>
      <w:r>
        <w:rPr>
          <w:rFonts w:ascii="Arial" w:cs="Arial" w:eastAsia="Arial" w:hAnsi="Arial"/>
          <w:i/>
          <w:iCs/>
          <w:sz w:val="21"/>
          <w:szCs w:val="21"/>
        </w:rPr>
        <w:t xml:space="preserve">this is what the risk looks like now.</w:t>
      </w:r>
      <w:r>
        <w:rPr>
          <w:rFonts w:ascii="Arial" w:cs="Arial" w:eastAsia="Arial" w:hAnsi="Arial"/>
          <w:sz w:val="21"/>
          <w:szCs w:val="21"/>
        </w:rPr>
        <w:t xml:space="preserve"> The World Engine says: </w:t>
      </w:r>
      <w:r>
        <w:rPr>
          <w:rFonts w:ascii="Arial" w:cs="Arial" w:eastAsia="Arial" w:hAnsi="Arial"/>
          <w:i/>
          <w:iCs/>
          <w:sz w:val="21"/>
          <w:szCs w:val="21"/>
        </w:rPr>
        <w:t xml:space="preserve">this is where the risk is going, and this is what it means for the portfolio.</w:t>
      </w:r>
      <w:r>
        <w:rPr>
          <w:rFonts w:ascii="Arial" w:cs="Arial" w:eastAsia="Arial" w:hAnsi="Arial"/>
          <w:sz w:val="21"/>
          <w:szCs w:val="21"/>
        </w:rPr>
        <w:t xml:space="preserve"> Together, they produce a premium that captures both the present and the trajectory — which is the definition of a World Model.</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tabs>
        <w:tab w:val="right" w:pos="9026"/>
      </w:tabs>
    </w:pPr>
    <w:r>
      <w:rPr>
        <w:rFonts w:ascii="Arial" w:cs="Arial" w:eastAsia="Arial" w:hAnsi="Arial"/>
        <w:i/>
        <w:iCs/>
        <w:color w:val="999999"/>
        <w:sz w:val="16"/>
        <w:szCs w:val="16"/>
      </w:rPr>
      <w:t xml:space="preserve">World Engine: Pricing &amp; Portfolio</w:t>
    </w:r>
    <w:r>
      <w:t xml:space="preserve">	</w:t>
    </w:r>
    <w:r>
      <w:rPr>
        <w:rFonts w:ascii="Arial" w:cs="Arial" w:eastAsia="Arial" w:hAnsi="Arial"/>
        <w:b/>
        <w:bCs/>
        <w:color w:val="E85D26"/>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4B"/>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2026-04-07T14:40:15.008Z</dcterms:created>
  <dcterms:modified xsi:type="dcterms:W3CDTF">2026-04-07T14:40:15.009Z</dcterms:modified>
</cp:coreProperties>
</file>

<file path=docProps/custom.xml><?xml version="1.0" encoding="utf-8"?>
<Properties xmlns="http://schemas.openxmlformats.org/officeDocument/2006/custom-properties" xmlns:vt="http://schemas.openxmlformats.org/officeDocument/2006/docPropsVTypes"/>
</file>