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4242312"/>
        <w:docPartObj>
          <w:docPartGallery w:val="Cover Pages"/>
          <w:docPartUnique/>
        </w:docPartObj>
      </w:sdtPr>
      <w:sdtContent>
        <w:p w14:paraId="7FB70701" w14:textId="77777777" w:rsidR="006F5D5B" w:rsidRDefault="006F5D5B"/>
        <w:p w14:paraId="03E2889D" w14:textId="77777777" w:rsidR="006F5D5B" w:rsidRDefault="006F5D5B"/>
        <w:p w14:paraId="1C581FAF" w14:textId="77777777" w:rsidR="006F5D5B" w:rsidRDefault="006F5D5B"/>
        <w:p w14:paraId="3DBE658D" w14:textId="249FAA61" w:rsidR="006F5D5B" w:rsidRDefault="006F5D5B">
          <w:r>
            <w:rPr>
              <w:noProof/>
            </w:rPr>
            <w:drawing>
              <wp:inline distT="0" distB="0" distL="0" distR="0" wp14:anchorId="19CDA71D" wp14:editId="74930872">
                <wp:extent cx="2933626" cy="971550"/>
                <wp:effectExtent l="0" t="0" r="0" b="0"/>
                <wp:docPr id="995200364"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00364" name="Picture 3">
                          <a:extLst>
                            <a:ext uri="{C183D7F6-B498-43B3-948B-1728B52AA6E4}">
                              <adec:decorative xmlns:adec="http://schemas.microsoft.com/office/drawing/2017/decorative" val="1"/>
                            </a:ext>
                          </a:extLst>
                        </pic:cNvPr>
                        <pic:cNvPicPr/>
                      </pic:nvPicPr>
                      <pic:blipFill rotWithShape="1">
                        <a:blip r:embed="rId8" cstate="print">
                          <a:extLst>
                            <a:ext uri="{28A0092B-C50C-407E-A947-70E740481C1C}">
                              <a14:useLocalDpi xmlns:a14="http://schemas.microsoft.com/office/drawing/2010/main" val="0"/>
                            </a:ext>
                          </a:extLst>
                        </a:blip>
                        <a:srcRect l="7534" t="35121" r="6825" b="36516"/>
                        <a:stretch>
                          <a:fillRect/>
                        </a:stretch>
                      </pic:blipFill>
                      <pic:spPr bwMode="auto">
                        <a:xfrm>
                          <a:off x="0" y="0"/>
                          <a:ext cx="2939505" cy="973497"/>
                        </a:xfrm>
                        <a:prstGeom prst="rect">
                          <a:avLst/>
                        </a:prstGeom>
                        <a:ln>
                          <a:noFill/>
                        </a:ln>
                        <a:extLst>
                          <a:ext uri="{53640926-AAD7-44D8-BBD7-CCE9431645EC}">
                            <a14:shadowObscured xmlns:a14="http://schemas.microsoft.com/office/drawing/2010/main"/>
                          </a:ext>
                        </a:extLst>
                      </pic:spPr>
                    </pic:pic>
                  </a:graphicData>
                </a:graphic>
              </wp:inline>
            </w:drawing>
          </w:r>
        </w:p>
        <w:p w14:paraId="5DE2C1CE" w14:textId="6CBFAD1A" w:rsidR="00026AC3" w:rsidRDefault="00000000">
          <w:pPr>
            <w:rPr>
              <w:rFonts w:asciiTheme="majorHAnsi" w:eastAsiaTheme="majorEastAsia" w:hAnsiTheme="majorHAnsi" w:cstheme="majorBidi"/>
              <w:color w:val="000000" w:themeColor="accent3"/>
              <w:sz w:val="28"/>
              <w:szCs w:val="32"/>
            </w:rPr>
          </w:pPr>
        </w:p>
      </w:sdtContent>
    </w:sdt>
    <w:p w14:paraId="41DE2BD3" w14:textId="35E1C1BB" w:rsidR="006F5D5B" w:rsidRPr="0038146F" w:rsidRDefault="00000000" w:rsidP="0038146F">
      <w:pPr>
        <w:pStyle w:val="Title"/>
        <w:rPr>
          <w:sz w:val="72"/>
          <w:szCs w:val="72"/>
        </w:rPr>
      </w:pPr>
      <w:sdt>
        <w:sdtPr>
          <w:rPr>
            <w:sz w:val="72"/>
            <w:szCs w:val="72"/>
          </w:rPr>
          <w:alias w:val="Title"/>
          <w:tag w:val=""/>
          <w:id w:val="1801103354"/>
          <w:placeholder>
            <w:docPart w:val="132BC19882034A1F9989DF526376C839"/>
          </w:placeholder>
          <w:dataBinding w:prefixMappings="xmlns:ns0='http://purl.org/dc/elements/1.1/' xmlns:ns1='http://schemas.openxmlformats.org/package/2006/metadata/core-properties' " w:xpath="/ns1:coreProperties[1]/ns0:title[1]" w:storeItemID="{6C3C8BC8-F283-45AE-878A-BAB7291924A1}"/>
          <w:text/>
        </w:sdtPr>
        <w:sdtContent>
          <w:r w:rsidR="0038146F" w:rsidRPr="0038146F">
            <w:rPr>
              <w:sz w:val="72"/>
              <w:szCs w:val="72"/>
            </w:rPr>
            <w:t>Digital Signal Intelligence</w:t>
          </w:r>
        </w:sdtContent>
      </w:sdt>
    </w:p>
    <w:p w14:paraId="53506E29" w14:textId="3AD2D4C3" w:rsidR="009C0690" w:rsidRPr="009C0690" w:rsidRDefault="00D44C56" w:rsidP="009C0690">
      <w:pPr>
        <w:pStyle w:val="Subtitle"/>
      </w:pPr>
      <w:r w:rsidRPr="00D44C56">
        <w:t xml:space="preserve">A New Information Substrate for </w:t>
      </w:r>
      <w:r>
        <w:t>Insurance</w:t>
      </w:r>
      <w:r w:rsidR="009C0690">
        <w:br/>
        <w:t>White paper</w:t>
      </w:r>
    </w:p>
    <w:p w14:paraId="72FB18A7" w14:textId="77777777" w:rsidR="006F5D5B" w:rsidRDefault="00000000" w:rsidP="006F5D5B">
      <w:sdt>
        <w:sdtPr>
          <w:alias w:val="Author"/>
          <w:tag w:val=""/>
          <w:id w:val="-121314205"/>
          <w:placeholder>
            <w:docPart w:val="390659AA61A84F19B7072A6CAE5DC740"/>
          </w:placeholder>
          <w:dataBinding w:prefixMappings="xmlns:ns0='http://purl.org/dc/elements/1.1/' xmlns:ns1='http://schemas.openxmlformats.org/package/2006/metadata/core-properties' " w:xpath="/ns1:coreProperties[1]/ns0:creator[1]" w:storeItemID="{6C3C8BC8-F283-45AE-878A-BAB7291924A1}"/>
          <w:text/>
        </w:sdtPr>
        <w:sdtContent>
          <w:r w:rsidR="006F5D5B">
            <w:t>John Walker</w:t>
          </w:r>
        </w:sdtContent>
      </w:sdt>
    </w:p>
    <w:p w14:paraId="107CA2D1" w14:textId="77777777" w:rsidR="006F5D5B" w:rsidRDefault="006F5D5B" w:rsidP="006F5D5B"/>
    <w:p w14:paraId="74F567A4" w14:textId="77777777" w:rsidR="00EE3FC8" w:rsidRPr="00EE3FC8" w:rsidRDefault="00EE3FC8" w:rsidP="00EE3FC8">
      <w:pPr>
        <w:rPr>
          <w:rFonts w:ascii="IBM Plex Sans Light" w:hAnsi="IBM Plex Sans Light"/>
        </w:rPr>
      </w:pPr>
      <w:r w:rsidRPr="00EE3FC8">
        <w:rPr>
          <w:rFonts w:ascii="IBM Plex Sans Light" w:hAnsi="IBM Plex Sans Light"/>
        </w:rPr>
        <w:t xml:space="preserve">Abstract:  </w:t>
      </w:r>
    </w:p>
    <w:p w14:paraId="582A7BE3" w14:textId="77777777" w:rsidR="008C6040" w:rsidRDefault="00F14557" w:rsidP="00EE3FC8">
      <w:pPr>
        <w:rPr>
          <w:rFonts w:ascii="IBM Plex Sans Light" w:hAnsi="IBM Plex Sans Light"/>
        </w:rPr>
      </w:pPr>
      <w:r w:rsidRPr="00F14557">
        <w:rPr>
          <w:rFonts w:ascii="IBM Plex Sans Light" w:hAnsi="IBM Plex Sans Light"/>
        </w:rPr>
        <w:t xml:space="preserve">Digital Signal Intelligence (DSI) defines a new, externally observable information substrate for insurance, enabling deterministic, autonomous risk assessment, exposure estimation, loss propensity inference, and pricing at scale. </w:t>
      </w:r>
    </w:p>
    <w:p w14:paraId="58752B42" w14:textId="3DBB5EA4" w:rsidR="006F5D5B" w:rsidRPr="00EE3FC8" w:rsidRDefault="00F14557" w:rsidP="00EE3FC8">
      <w:pPr>
        <w:rPr>
          <w:rFonts w:ascii="IBM Plex Sans Light" w:hAnsi="IBM Plex Sans Light"/>
        </w:rPr>
      </w:pPr>
      <w:r w:rsidRPr="00F14557">
        <w:rPr>
          <w:rFonts w:ascii="IBM Plex Sans Light" w:hAnsi="IBM Plex Sans Light"/>
        </w:rPr>
        <w:t>This paper presents a complete framework for transforming underwriting from subjective document interpretation to objective signal processing</w:t>
      </w:r>
      <w:r w:rsidR="00EE3FC8" w:rsidRPr="00EE3FC8">
        <w:rPr>
          <w:rFonts w:ascii="IBM Plex Sans Light" w:hAnsi="IBM Plex Sans Light"/>
        </w:rPr>
        <w:t>.</w:t>
      </w:r>
    </w:p>
    <w:p w14:paraId="723B1027" w14:textId="77777777" w:rsidR="0098405B" w:rsidRDefault="006F5D5B" w:rsidP="0098405B">
      <w:r>
        <w:br w:type="page"/>
      </w:r>
    </w:p>
    <w:p w14:paraId="74957FE6" w14:textId="289586DE" w:rsidR="0098405B" w:rsidRDefault="00A36B8D" w:rsidP="00A36B8D">
      <w:pPr>
        <w:pStyle w:val="Heading1"/>
      </w:pPr>
      <w:r>
        <w:lastRenderedPageBreak/>
        <w:t>The Automation Myth</w:t>
      </w:r>
    </w:p>
    <w:p w14:paraId="6AC6DCDB" w14:textId="75E5F6C5" w:rsidR="00AD33EC" w:rsidRDefault="00A36B8D" w:rsidP="00A36B8D">
      <w:pPr>
        <w:pStyle w:val="Heading2"/>
      </w:pPr>
      <w:r>
        <w:t>Introduction</w:t>
      </w:r>
    </w:p>
    <w:p w14:paraId="09464560" w14:textId="798183BD" w:rsidR="00D16081" w:rsidRDefault="008D3C2C" w:rsidP="008D3C2C">
      <w:r>
        <w:t xml:space="preserve">For two decades, the insurance industry has attempted to automate the traditional underwriting process. Vendors, </w:t>
      </w:r>
      <w:r w:rsidR="00D917D4">
        <w:t>i</w:t>
      </w:r>
      <w:r w:rsidR="005521AE">
        <w:t>nsuretechs</w:t>
      </w:r>
      <w:r>
        <w:t xml:space="preserve">, and internal transformation programmes have all pursued the same objective: extract structured data from unstructured submissions, feed it into rating models, and accelerate underwriting decisions. </w:t>
      </w:r>
    </w:p>
    <w:p w14:paraId="331E9F78" w14:textId="331FEDA4" w:rsidR="008D3C2C" w:rsidRDefault="00EE3FC8" w:rsidP="008D3C2C">
      <w:r>
        <w:t>Yet</w:t>
      </w:r>
      <w:r w:rsidR="00A61D05">
        <w:t xml:space="preserve"> t</w:t>
      </w:r>
      <w:r w:rsidR="00D16081" w:rsidRPr="00D16081">
        <w:t xml:space="preserve">wenty years of Lloyd’s </w:t>
      </w:r>
      <w:r w:rsidR="005521AE">
        <w:t>combined ratios</w:t>
      </w:r>
      <w:r w:rsidR="00D16081" w:rsidRPr="00D16081">
        <w:t xml:space="preserve"> show the same truth as every major market: insurance </w:t>
      </w:r>
      <w:r w:rsidR="00A61D05">
        <w:t xml:space="preserve">is </w:t>
      </w:r>
      <w:r w:rsidR="009B63F2">
        <w:t>flat-lining</w:t>
      </w:r>
      <w:r w:rsidR="00D16081" w:rsidRPr="00D16081">
        <w:t>.</w:t>
      </w:r>
      <w:r w:rsidR="00A61D05">
        <w:t xml:space="preserve"> </w:t>
      </w:r>
      <w:r w:rsidR="008D3C2C">
        <w:t xml:space="preserve">Despite billions invested, the results have been marginal. </w:t>
      </w:r>
      <w:r w:rsidR="00007C76">
        <w:t>Zero-touch underwriting remains</w:t>
      </w:r>
      <w:r w:rsidR="00CA663A">
        <w:t xml:space="preserve"> out-of-reach</w:t>
      </w:r>
      <w:r w:rsidR="008D3C2C">
        <w:t>, expense ratios remain stru</w:t>
      </w:r>
      <w:r w:rsidR="00A93B0D">
        <w:t xml:space="preserve">cturally </w:t>
      </w:r>
      <w:r w:rsidR="008D3C2C">
        <w:t>high, and underwriting workflows remain dependent on manual intervention.</w:t>
      </w:r>
    </w:p>
    <w:p w14:paraId="2EE8826D" w14:textId="781B44B7" w:rsidR="00B168AE" w:rsidRDefault="00C8666F" w:rsidP="008D3C2C">
      <w:r w:rsidRPr="00C8666F">
        <w:rPr>
          <w:noProof/>
        </w:rPr>
        <w:drawing>
          <wp:inline distT="0" distB="0" distL="0" distR="0" wp14:anchorId="492826FA" wp14:editId="10FFD295">
            <wp:extent cx="5731510" cy="1567180"/>
            <wp:effectExtent l="0" t="0" r="2540" b="0"/>
            <wp:docPr id="375502371" name="Chart 1">
              <a:extLst xmlns:a="http://schemas.openxmlformats.org/drawingml/2006/main">
                <a:ext uri="{FF2B5EF4-FFF2-40B4-BE49-F238E27FC236}">
                  <a16:creationId xmlns:a16="http://schemas.microsoft.com/office/drawing/2014/main" id="{50F8E392-EB8C-879B-E53D-EB3EF58FD0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38D89A4F" w14:textId="77777777" w:rsidR="008D3C2C" w:rsidRDefault="008D3C2C" w:rsidP="008D3C2C">
      <w:r>
        <w:t xml:space="preserve">The core assumption behind these efforts is that traditional underwriting inputs can be automated. </w:t>
      </w:r>
    </w:p>
    <w:p w14:paraId="68A488C3" w14:textId="77777777" w:rsidR="008D3C2C" w:rsidRDefault="008D3C2C" w:rsidP="008D3C2C">
      <w:r>
        <w:t xml:space="preserve">This assumption is incorrect. </w:t>
      </w:r>
    </w:p>
    <w:p w14:paraId="3344C284" w14:textId="0B1F864C" w:rsidR="008D3C2C" w:rsidRDefault="008D3C2C" w:rsidP="008D3C2C">
      <w:pPr>
        <w:pStyle w:val="Callout"/>
      </w:pPr>
      <w:r>
        <w:t>The inputs themselves are the constraint.</w:t>
      </w:r>
    </w:p>
    <w:p w14:paraId="4F6CEBE6" w14:textId="2E4FBE40" w:rsidR="00F51085" w:rsidRDefault="00F51085" w:rsidP="00C96B1B">
      <w:pPr>
        <w:pStyle w:val="Heading2"/>
      </w:pPr>
      <w:r>
        <w:t>The Information Substrate Problem</w:t>
      </w:r>
    </w:p>
    <w:p w14:paraId="2856B1B0" w14:textId="0AB9279B" w:rsidR="00D2147F" w:rsidRDefault="00D2147F" w:rsidP="00D2147F">
      <w:r>
        <w:t>Traditional inputs exist in infinite formats. Broker spreadsheets, PDFs, emails, and supplemental questionnaires have no canonical schema and no deterministic structure. No extraction system, including modern</w:t>
      </w:r>
      <w:r w:rsidR="00EE3FC8">
        <w:t xml:space="preserve"> or future</w:t>
      </w:r>
      <w:r>
        <w:t xml:space="preserve"> AI models, can consistently transform these artefacts into the reliable, field‑level inputs required </w:t>
      </w:r>
      <w:r w:rsidR="00FC74A7">
        <w:t>for</w:t>
      </w:r>
      <w:r w:rsidR="00007C76">
        <w:t xml:space="preserve"> zero-touch underwriting</w:t>
      </w:r>
      <w:r>
        <w:t>.</w:t>
      </w:r>
    </w:p>
    <w:p w14:paraId="4B597EE6" w14:textId="77777777" w:rsidR="00EE3FC8" w:rsidRDefault="00F51085" w:rsidP="00F51085">
      <w:r>
        <w:t xml:space="preserve">A system built on these inputs cannot achieve deterministic automation. </w:t>
      </w:r>
    </w:p>
    <w:p w14:paraId="4C23BB35" w14:textId="4943DBF1" w:rsidR="00F51085" w:rsidRDefault="00F51085" w:rsidP="00EE3FC8">
      <w:pPr>
        <w:pStyle w:val="Callout"/>
      </w:pPr>
      <w:r>
        <w:t>To enable autonomous underwriting, the information substrate must change.</w:t>
      </w:r>
    </w:p>
    <w:p w14:paraId="368C5481" w14:textId="4C47D5A6" w:rsidR="00F51085" w:rsidRDefault="00F51085" w:rsidP="000F06AC">
      <w:pPr>
        <w:pStyle w:val="Heading1"/>
      </w:pPr>
      <w:r>
        <w:t>Digital Signal Intelligence</w:t>
      </w:r>
    </w:p>
    <w:p w14:paraId="5E32A4BB" w14:textId="501255E2" w:rsidR="000F06AC" w:rsidRPr="000F06AC" w:rsidRDefault="00451D31" w:rsidP="000F06AC">
      <w:pPr>
        <w:pStyle w:val="Heading2"/>
      </w:pPr>
      <w:r>
        <w:t xml:space="preserve">The </w:t>
      </w:r>
      <w:r w:rsidR="006F7559">
        <w:t>Core Thesis</w:t>
      </w:r>
    </w:p>
    <w:p w14:paraId="06EF0198" w14:textId="77777777" w:rsidR="00895926" w:rsidRDefault="00895926" w:rsidP="00895926">
      <w:r>
        <w:t>Insurance underwriting requires understanding two properties of an organisation:</w:t>
      </w:r>
    </w:p>
    <w:p w14:paraId="1A1CCCC2" w14:textId="77777777" w:rsidR="00895926" w:rsidRDefault="00895926" w:rsidP="00895926">
      <w:pPr>
        <w:pStyle w:val="ListParagraph"/>
        <w:numPr>
          <w:ilvl w:val="0"/>
          <w:numId w:val="40"/>
        </w:numPr>
      </w:pPr>
      <w:r>
        <w:t>How well it is managed</w:t>
      </w:r>
    </w:p>
    <w:p w14:paraId="5DE7EC37" w14:textId="77777777" w:rsidR="00895926" w:rsidRDefault="00895926" w:rsidP="00895926">
      <w:pPr>
        <w:pStyle w:val="ListParagraph"/>
        <w:numPr>
          <w:ilvl w:val="0"/>
          <w:numId w:val="40"/>
        </w:numPr>
      </w:pPr>
      <w:r>
        <w:t>How it behaves over time</w:t>
      </w:r>
    </w:p>
    <w:p w14:paraId="255DED99" w14:textId="77777777" w:rsidR="00895926" w:rsidRDefault="00895926" w:rsidP="00895926">
      <w:r>
        <w:t xml:space="preserve">Traditional underwriting attempts to infer these properties from self‑reported documents, which are subjective, inconsistent, and non‑verifiable. </w:t>
      </w:r>
    </w:p>
    <w:p w14:paraId="1F70C47A" w14:textId="41E95F09" w:rsidR="00895926" w:rsidRDefault="00895926" w:rsidP="00536EDE">
      <w:pPr>
        <w:pStyle w:val="Callout"/>
      </w:pPr>
      <w:r>
        <w:t>DSI replaces them with observable digital signals</w:t>
      </w:r>
      <w:r w:rsidR="00212853">
        <w:t>.</w:t>
      </w:r>
    </w:p>
    <w:p w14:paraId="442E3125" w14:textId="691C6DD8" w:rsidR="00895926" w:rsidRDefault="00895926" w:rsidP="00895926">
      <w:r>
        <w:lastRenderedPageBreak/>
        <w:t>All organisations operate within a digital ecosystem. Their participation in networks of clients, suppliers, partners, regulators, and certification bodies creates a citation network revealing trust and standing. Their digital trail of operational discipline provides a reliable proxy for maturity. Their hiring activity and investor communications reveal financial performance. Even the absence of expected signals is meaningful because well‑run companies are predictable and uniform.</w:t>
      </w:r>
      <w:r w:rsidR="00212853">
        <w:t xml:space="preserve"> </w:t>
      </w:r>
    </w:p>
    <w:p w14:paraId="6A15B859" w14:textId="6DB30006" w:rsidR="00EB6FA9" w:rsidRDefault="00212853" w:rsidP="002D1760">
      <w:r>
        <w:t xml:space="preserve">Signals </w:t>
      </w:r>
      <w:r w:rsidR="002D1760" w:rsidRPr="002D1760">
        <w:t>are structured, verifiable, and machine-readable by design</w:t>
      </w:r>
      <w:r w:rsidR="002D1760">
        <w:t xml:space="preserve">, which enables </w:t>
      </w:r>
      <w:r w:rsidR="00BF4003">
        <w:t>DSI to</w:t>
      </w:r>
      <w:r w:rsidR="002D1760">
        <w:t xml:space="preserve"> </w:t>
      </w:r>
      <w:r w:rsidR="00F51085">
        <w:t xml:space="preserve">provide a deterministic foundation for underwriting, enabling automated risk assessment, exposure estimation, and pricing at scale. </w:t>
      </w:r>
    </w:p>
    <w:p w14:paraId="077AA248" w14:textId="77777777" w:rsidR="00FC6323" w:rsidRDefault="00FC6323" w:rsidP="00FC6323">
      <w:pPr>
        <w:pStyle w:val="Heading2"/>
      </w:pPr>
      <w:r>
        <w:t>Why Now?</w:t>
      </w:r>
    </w:p>
    <w:p w14:paraId="3383D187" w14:textId="2D89A324" w:rsidR="00FC6323" w:rsidRDefault="00FC6323" w:rsidP="00FC6323">
      <w:r>
        <w:t>DSI is not e</w:t>
      </w:r>
      <w:r w:rsidRPr="005521AE">
        <w:t>xperimental. It is based on the same network‑based principles that underpin modern search and recommendation systems, beginning with Google’s PageRank in 1998.</w:t>
      </w:r>
    </w:p>
    <w:p w14:paraId="6309FE6F" w14:textId="77777777" w:rsidR="00FC6323" w:rsidRDefault="00FC6323" w:rsidP="00FC6323">
      <w:r>
        <w:t>Today, the maturity of web, cloud technologies and AI provide ideal conditions for success:</w:t>
      </w:r>
    </w:p>
    <w:p w14:paraId="1172D2BA" w14:textId="77777777" w:rsidR="00FC6323" w:rsidRDefault="00FC6323" w:rsidP="00FC6323">
      <w:pPr>
        <w:pStyle w:val="ListParagraph"/>
        <w:numPr>
          <w:ilvl w:val="0"/>
          <w:numId w:val="68"/>
        </w:numPr>
      </w:pPr>
      <w:r w:rsidRPr="005863E0">
        <w:rPr>
          <w:rFonts w:ascii="IBM Plex Sans SemiBold" w:hAnsi="IBM Plex Sans SemiBold"/>
        </w:rPr>
        <w:t>Digital ubiquity.</w:t>
      </w:r>
      <w:r>
        <w:t xml:space="preserve"> </w:t>
      </w:r>
      <w:r>
        <w:br/>
        <w:t>Every organisation of meaningful scale now has a measurable digital footprint, providing a universally present signal density.</w:t>
      </w:r>
    </w:p>
    <w:p w14:paraId="7D0ADA58" w14:textId="77777777" w:rsidR="00FC6323" w:rsidRDefault="00FC6323" w:rsidP="00FC6323">
      <w:pPr>
        <w:pStyle w:val="ListParagraph"/>
        <w:numPr>
          <w:ilvl w:val="0"/>
          <w:numId w:val="68"/>
        </w:numPr>
      </w:pPr>
      <w:r w:rsidRPr="005863E0">
        <w:rPr>
          <w:rFonts w:ascii="IBM Plex Sans SemiBold" w:hAnsi="IBM Plex Sans SemiBold"/>
        </w:rPr>
        <w:t xml:space="preserve">API accessibility. </w:t>
      </w:r>
      <w:r w:rsidRPr="005863E0">
        <w:rPr>
          <w:rFonts w:ascii="IBM Plex Sans SemiBold" w:hAnsi="IBM Plex Sans SemiBold"/>
        </w:rPr>
        <w:br/>
      </w:r>
      <w:r>
        <w:t xml:space="preserve">Signals that were locked in proprietary databases are now accessible through commercial and public APIs. </w:t>
      </w:r>
    </w:p>
    <w:p w14:paraId="24676BB0" w14:textId="77777777" w:rsidR="00FC6323" w:rsidRDefault="00FC6323" w:rsidP="00FC6323">
      <w:pPr>
        <w:pStyle w:val="ListParagraph"/>
        <w:numPr>
          <w:ilvl w:val="0"/>
          <w:numId w:val="68"/>
        </w:numPr>
      </w:pPr>
      <w:r w:rsidRPr="005863E0">
        <w:rPr>
          <w:rFonts w:ascii="IBM Plex Sans SemiBold" w:hAnsi="IBM Plex Sans SemiBold"/>
        </w:rPr>
        <w:t>Compute economics.</w:t>
      </w:r>
      <w:r>
        <w:t xml:space="preserve"> </w:t>
      </w:r>
      <w:r>
        <w:br/>
        <w:t>Processing 200-400 signals per submission, running parallel extraction pipelines, and maintaining continuous monitoring was prohibitively expensive a decade ago. Cloud infrastructure has made this economical.</w:t>
      </w:r>
    </w:p>
    <w:p w14:paraId="3470D07E" w14:textId="2E9B1362" w:rsidR="00134BA3" w:rsidRDefault="00FC6323" w:rsidP="00FC6323">
      <w:pPr>
        <w:pStyle w:val="ListParagraph"/>
        <w:numPr>
          <w:ilvl w:val="0"/>
          <w:numId w:val="68"/>
        </w:numPr>
      </w:pPr>
      <w:r w:rsidRPr="00FC6323">
        <w:rPr>
          <w:rFonts w:ascii="IBM Plex Sans SemiBold" w:hAnsi="IBM Plex Sans SemiBold"/>
        </w:rPr>
        <w:t xml:space="preserve">AI maturation. </w:t>
      </w:r>
      <w:r w:rsidRPr="00FC6323">
        <w:rPr>
          <w:rFonts w:ascii="IBM Plex Sans SemiBold" w:hAnsi="IBM Plex Sans SemiBold"/>
        </w:rPr>
        <w:br/>
      </w:r>
      <w:r>
        <w:t>Extraction, normalisation, and scoring of signals can now be executed by autonomous systems without human interpretation.</w:t>
      </w:r>
    </w:p>
    <w:p w14:paraId="1FF11B1E" w14:textId="20DDF256" w:rsidR="007D32D7" w:rsidRDefault="007D32D7" w:rsidP="007D32D7">
      <w:pPr>
        <w:pStyle w:val="Callout"/>
      </w:pPr>
      <w:r w:rsidRPr="007D32D7">
        <w:t>The question is not whether organisations can be assessed by their digital behaviour. The question is why insurance has taken so long to do so.</w:t>
      </w:r>
    </w:p>
    <w:p w14:paraId="69EDE274" w14:textId="77777777" w:rsidR="0028126F" w:rsidRDefault="0028126F" w:rsidP="0028126F">
      <w:pPr>
        <w:pStyle w:val="Heading2"/>
      </w:pPr>
      <w:r>
        <w:t>Foundational Principles</w:t>
      </w:r>
    </w:p>
    <w:p w14:paraId="350FF486" w14:textId="77777777" w:rsidR="00B97A2B" w:rsidRDefault="00B97A2B" w:rsidP="00B97A2B">
      <w:pPr>
        <w:pStyle w:val="Callout"/>
      </w:pPr>
      <w:r>
        <w:t xml:space="preserve">DSI </w:t>
      </w:r>
      <w:r w:rsidR="0028126F" w:rsidRPr="00EE3FC8">
        <w:t>operate</w:t>
      </w:r>
      <w:r>
        <w:t>s</w:t>
      </w:r>
      <w:r w:rsidR="0028126F" w:rsidRPr="00EE3FC8">
        <w:t xml:space="preserve"> consistently and autonomously</w:t>
      </w:r>
      <w:r>
        <w:t>.</w:t>
      </w:r>
    </w:p>
    <w:p w14:paraId="66156124" w14:textId="504ABF99" w:rsidR="0028126F" w:rsidRDefault="009642D7" w:rsidP="0028126F">
      <w:r>
        <w:t>To ensure this</w:t>
      </w:r>
      <w:r w:rsidR="0028126F" w:rsidRPr="00EE3FC8">
        <w:t>, ten mandatory principles define the methodology:</w:t>
      </w:r>
    </w:p>
    <w:p w14:paraId="5D3C9C96" w14:textId="6C88985D" w:rsidR="0028126F" w:rsidRDefault="0028126F" w:rsidP="00862ADB">
      <w:pPr>
        <w:pStyle w:val="ListParagraph"/>
        <w:numPr>
          <w:ilvl w:val="0"/>
          <w:numId w:val="72"/>
        </w:numPr>
      </w:pPr>
      <w:r w:rsidRPr="0007440B">
        <w:rPr>
          <w:rFonts w:ascii="IBM Plex Sans SemiBold" w:hAnsi="IBM Plex Sans SemiBold"/>
        </w:rPr>
        <w:t xml:space="preserve">External Observability. </w:t>
      </w:r>
      <w:r w:rsidRPr="0007440B">
        <w:rPr>
          <w:rFonts w:ascii="IBM Plex Sans SemiBold" w:hAnsi="IBM Plex Sans SemiBold"/>
        </w:rPr>
        <w:br/>
      </w:r>
      <w:r>
        <w:t>Primary signals must be obtainable without cooperatio</w:t>
      </w:r>
      <w:r w:rsidR="00B97A2B">
        <w:t>n</w:t>
      </w:r>
      <w:r>
        <w:t xml:space="preserve">. </w:t>
      </w:r>
    </w:p>
    <w:p w14:paraId="794FFFA7" w14:textId="77777777" w:rsidR="0028126F" w:rsidRDefault="0028126F" w:rsidP="00862ADB">
      <w:pPr>
        <w:pStyle w:val="ListParagraph"/>
        <w:numPr>
          <w:ilvl w:val="0"/>
          <w:numId w:val="72"/>
        </w:numPr>
      </w:pPr>
      <w:r w:rsidRPr="0007440B">
        <w:rPr>
          <w:rFonts w:ascii="IBM Plex Sans SemiBold" w:hAnsi="IBM Plex Sans SemiBold"/>
        </w:rPr>
        <w:t>Machine Readability.</w:t>
      </w:r>
      <w:r>
        <w:t xml:space="preserve"> </w:t>
      </w:r>
      <w:r>
        <w:br/>
        <w:t xml:space="preserve">All signals must be analysable by automated systems without human interpretation. </w:t>
      </w:r>
    </w:p>
    <w:p w14:paraId="0D0FAFB8" w14:textId="77777777" w:rsidR="0028126F" w:rsidRDefault="0028126F" w:rsidP="00862ADB">
      <w:pPr>
        <w:pStyle w:val="ListParagraph"/>
        <w:numPr>
          <w:ilvl w:val="0"/>
          <w:numId w:val="72"/>
        </w:numPr>
      </w:pPr>
      <w:r w:rsidRPr="0007440B">
        <w:rPr>
          <w:rFonts w:ascii="IBM Plex Sans SemiBold" w:hAnsi="IBM Plex Sans SemiBold"/>
        </w:rPr>
        <w:t xml:space="preserve">Network Authority. </w:t>
      </w:r>
      <w:r w:rsidRPr="0007440B">
        <w:rPr>
          <w:rFonts w:ascii="IBM Plex Sans SemiBold" w:hAnsi="IBM Plex Sans SemiBold"/>
        </w:rPr>
        <w:br/>
      </w:r>
      <w:r w:rsidRPr="00EE3FC8">
        <w:t>Relationship patterns reveal quality. Models incorporate inbound authority, outbound selectivity, centrality, co‑citation, and certification relationships</w:t>
      </w:r>
      <w:r>
        <w:t>.</w:t>
      </w:r>
    </w:p>
    <w:p w14:paraId="2DD4D7AC" w14:textId="77777777" w:rsidR="0028126F" w:rsidRDefault="0028126F" w:rsidP="00862ADB">
      <w:pPr>
        <w:pStyle w:val="ListParagraph"/>
        <w:numPr>
          <w:ilvl w:val="0"/>
          <w:numId w:val="72"/>
        </w:numPr>
      </w:pPr>
      <w:r w:rsidRPr="0007440B">
        <w:rPr>
          <w:rFonts w:ascii="IBM Plex Sans SemiBold" w:hAnsi="IBM Plex Sans SemiBold"/>
        </w:rPr>
        <w:t>Behavioural Inference Over Self</w:t>
      </w:r>
      <w:r w:rsidRPr="0007440B">
        <w:rPr>
          <w:rFonts w:ascii="IBM Plex Sans SemiBold" w:hAnsi="IBM Plex Sans SemiBold" w:cs="Cambria Math"/>
        </w:rPr>
        <w:t>‑</w:t>
      </w:r>
      <w:r w:rsidRPr="0007440B">
        <w:rPr>
          <w:rFonts w:ascii="IBM Plex Sans SemiBold" w:hAnsi="IBM Plex Sans SemiBold"/>
        </w:rPr>
        <w:t xml:space="preserve">Reporting. </w:t>
      </w:r>
      <w:r w:rsidRPr="0007440B">
        <w:rPr>
          <w:rFonts w:ascii="IBM Plex Sans SemiBold" w:hAnsi="IBM Plex Sans SemiBold"/>
        </w:rPr>
        <w:br/>
      </w:r>
      <w:r>
        <w:t xml:space="preserve">Observable behaviour is weighted more heavily than stated intentions. </w:t>
      </w:r>
    </w:p>
    <w:p w14:paraId="5962B34E" w14:textId="0C0217C2" w:rsidR="0028126F" w:rsidRDefault="0028126F" w:rsidP="00862ADB">
      <w:pPr>
        <w:pStyle w:val="ListParagraph"/>
        <w:numPr>
          <w:ilvl w:val="0"/>
          <w:numId w:val="72"/>
        </w:numPr>
      </w:pPr>
      <w:r w:rsidRPr="0007440B">
        <w:rPr>
          <w:rFonts w:ascii="IBM Plex Sans SemiBold" w:hAnsi="IBM Plex Sans SemiBold"/>
        </w:rPr>
        <w:t xml:space="preserve">Absence as </w:t>
      </w:r>
      <w:r w:rsidR="00DD1757">
        <w:rPr>
          <w:rFonts w:ascii="IBM Plex Sans SemiBold" w:hAnsi="IBM Plex Sans SemiBold"/>
        </w:rPr>
        <w:t xml:space="preserve">a </w:t>
      </w:r>
      <w:r w:rsidRPr="0007440B">
        <w:rPr>
          <w:rFonts w:ascii="IBM Plex Sans SemiBold" w:hAnsi="IBM Plex Sans SemiBold"/>
        </w:rPr>
        <w:t xml:space="preserve">Signal. </w:t>
      </w:r>
      <w:r w:rsidRPr="0007440B">
        <w:rPr>
          <w:rFonts w:ascii="IBM Plex Sans SemiBold" w:hAnsi="IBM Plex Sans SemiBold"/>
        </w:rPr>
        <w:br/>
      </w:r>
      <w:r w:rsidRPr="00EE3FC8">
        <w:t>Absence of expected signals is a measurable indicator of risk.</w:t>
      </w:r>
    </w:p>
    <w:p w14:paraId="3A859EAA" w14:textId="187E74BC" w:rsidR="0028126F" w:rsidRDefault="0028126F" w:rsidP="00862ADB">
      <w:pPr>
        <w:pStyle w:val="ListParagraph"/>
        <w:numPr>
          <w:ilvl w:val="0"/>
          <w:numId w:val="72"/>
        </w:numPr>
      </w:pPr>
      <w:r w:rsidRPr="0007440B">
        <w:rPr>
          <w:rFonts w:ascii="IBM Plex Sans SemiBold" w:hAnsi="IBM Plex Sans SemiBold"/>
        </w:rPr>
        <w:t xml:space="preserve">Structured Data Utilisation. </w:t>
      </w:r>
      <w:r w:rsidRPr="0007440B">
        <w:rPr>
          <w:rFonts w:ascii="IBM Plex Sans SemiBold" w:hAnsi="IBM Plex Sans SemiBold"/>
        </w:rPr>
        <w:br/>
      </w:r>
      <w:r w:rsidRPr="00EE3FC8">
        <w:t>Authoritative structured data—credit ratings, regulatory filings—</w:t>
      </w:r>
      <w:r w:rsidR="00C732B5">
        <w:t>are</w:t>
      </w:r>
      <w:r w:rsidRPr="00EE3FC8">
        <w:t xml:space="preserve"> incorporated directly.</w:t>
      </w:r>
    </w:p>
    <w:p w14:paraId="3324A5BE" w14:textId="2D3765F8" w:rsidR="0028126F" w:rsidRDefault="0028126F" w:rsidP="00862ADB">
      <w:pPr>
        <w:pStyle w:val="ListParagraph"/>
        <w:numPr>
          <w:ilvl w:val="0"/>
          <w:numId w:val="72"/>
        </w:numPr>
      </w:pPr>
      <w:r w:rsidRPr="0007440B">
        <w:rPr>
          <w:rFonts w:ascii="IBM Plex Sans SemiBold" w:hAnsi="IBM Plex Sans SemiBold"/>
        </w:rPr>
        <w:lastRenderedPageBreak/>
        <w:t xml:space="preserve">Minimal Direct Inquiry. </w:t>
      </w:r>
      <w:r w:rsidRPr="0007440B">
        <w:rPr>
          <w:rFonts w:ascii="IBM Plex Sans SemiBold" w:hAnsi="IBM Plex Sans SemiBold"/>
        </w:rPr>
        <w:br/>
      </w:r>
      <w:r w:rsidRPr="00EE3FC8">
        <w:t xml:space="preserve">Direct questions </w:t>
      </w:r>
      <w:r w:rsidR="00F01083">
        <w:t>are</w:t>
      </w:r>
      <w:r w:rsidRPr="00EE3FC8">
        <w:t xml:space="preserve"> optional and constrained to 5–10 binary or categorical questions per </w:t>
      </w:r>
      <w:r w:rsidR="00F01083">
        <w:t>model</w:t>
      </w:r>
      <w:r w:rsidRPr="00EE3FC8">
        <w:t>.</w:t>
      </w:r>
      <w:r>
        <w:t xml:space="preserve"> </w:t>
      </w:r>
    </w:p>
    <w:p w14:paraId="1FF73687" w14:textId="2A191699" w:rsidR="0028126F" w:rsidRDefault="0028126F" w:rsidP="00862ADB">
      <w:pPr>
        <w:pStyle w:val="ListParagraph"/>
        <w:numPr>
          <w:ilvl w:val="0"/>
          <w:numId w:val="72"/>
        </w:numPr>
      </w:pPr>
      <w:r w:rsidRPr="0007440B">
        <w:rPr>
          <w:rFonts w:ascii="IBM Plex Sans SemiBold" w:hAnsi="IBM Plex Sans SemiBold"/>
        </w:rPr>
        <w:t>Organisational</w:t>
      </w:r>
      <w:r w:rsidRPr="0007440B">
        <w:rPr>
          <w:rFonts w:ascii="IBM Plex Sans SemiBold" w:hAnsi="IBM Plex Sans SemiBold" w:cs="Cambria Math"/>
        </w:rPr>
        <w:t>‑</w:t>
      </w:r>
      <w:r w:rsidRPr="0007440B">
        <w:rPr>
          <w:rFonts w:ascii="IBM Plex Sans SemiBold" w:hAnsi="IBM Plex Sans SemiBold"/>
        </w:rPr>
        <w:t xml:space="preserve">Level Assessment. </w:t>
      </w:r>
      <w:r w:rsidRPr="0007440B">
        <w:rPr>
          <w:rFonts w:ascii="IBM Plex Sans SemiBold" w:hAnsi="IBM Plex Sans SemiBold"/>
        </w:rPr>
        <w:br/>
      </w:r>
      <w:r w:rsidRPr="00EE3FC8">
        <w:t xml:space="preserve">Risk is assessed at the organisational level; parent behaviour is a proxy for </w:t>
      </w:r>
      <w:r w:rsidR="00F01083">
        <w:t>underlying</w:t>
      </w:r>
      <w:r w:rsidRPr="00EE3FC8">
        <w:t xml:space="preserve"> ass</w:t>
      </w:r>
      <w:r w:rsidR="00F01083">
        <w:t>ets</w:t>
      </w:r>
      <w:r w:rsidRPr="00EE3FC8">
        <w:t>.</w:t>
      </w:r>
    </w:p>
    <w:p w14:paraId="69F39DFA" w14:textId="62B737FB" w:rsidR="0028126F" w:rsidRDefault="0028126F" w:rsidP="00862ADB">
      <w:pPr>
        <w:pStyle w:val="ListParagraph"/>
        <w:numPr>
          <w:ilvl w:val="0"/>
          <w:numId w:val="72"/>
        </w:numPr>
      </w:pPr>
      <w:r w:rsidRPr="0007440B">
        <w:rPr>
          <w:rFonts w:ascii="IBM Plex Sans SemiBold" w:hAnsi="IBM Plex Sans SemiBold"/>
        </w:rPr>
        <w:t xml:space="preserve">Simplicity in Scoring. </w:t>
      </w:r>
      <w:r w:rsidRPr="0007440B">
        <w:rPr>
          <w:rFonts w:ascii="IBM Plex Sans SemiBold" w:hAnsi="IBM Plex Sans SemiBold"/>
        </w:rPr>
        <w:br/>
      </w:r>
      <w:r>
        <w:t>Models follow a clear scoring flow</w:t>
      </w:r>
      <w:r w:rsidR="00C54B8D">
        <w:t xml:space="preserve"> that is captured and retained at the atomic grain</w:t>
      </w:r>
      <w:r w:rsidRPr="00EE3FC8">
        <w:t>.</w:t>
      </w:r>
    </w:p>
    <w:p w14:paraId="42005DDB" w14:textId="29EB9038" w:rsidR="0028126F" w:rsidRDefault="0028126F" w:rsidP="00862ADB">
      <w:pPr>
        <w:pStyle w:val="ListParagraph"/>
        <w:numPr>
          <w:ilvl w:val="0"/>
          <w:numId w:val="72"/>
        </w:numPr>
      </w:pPr>
      <w:r w:rsidRPr="0007440B">
        <w:rPr>
          <w:rFonts w:ascii="IBM Plex Sans SemiBold" w:hAnsi="IBM Plex Sans SemiBold"/>
        </w:rPr>
        <w:t xml:space="preserve">Agentic Readiness. </w:t>
      </w:r>
      <w:r w:rsidRPr="0007440B">
        <w:rPr>
          <w:rFonts w:ascii="IBM Plex Sans SemiBold" w:hAnsi="IBM Plex Sans SemiBold"/>
        </w:rPr>
        <w:br/>
      </w:r>
      <w:r w:rsidRPr="00EE3FC8">
        <w:t>Models must be executable by autonomous systems</w:t>
      </w:r>
      <w:r>
        <w:t>.</w:t>
      </w:r>
    </w:p>
    <w:p w14:paraId="2DA09193" w14:textId="29CE44B1" w:rsidR="0051548E" w:rsidRDefault="00CF4357" w:rsidP="0051548E">
      <w:pPr>
        <w:pStyle w:val="Heading1"/>
      </w:pPr>
      <w:r>
        <w:t>Signal</w:t>
      </w:r>
      <w:r w:rsidR="00BE365E">
        <w:t xml:space="preserve"> Architecture</w:t>
      </w:r>
    </w:p>
    <w:p w14:paraId="3DEB2EDC" w14:textId="06F7BC90" w:rsidR="00CF4357" w:rsidRPr="00CF4357" w:rsidRDefault="00125576" w:rsidP="00CF4357">
      <w:pPr>
        <w:pStyle w:val="Heading2"/>
      </w:pPr>
      <w:r>
        <w:t xml:space="preserve">Canonical </w:t>
      </w:r>
      <w:r w:rsidR="00CF4357">
        <w:t>Categories</w:t>
      </w:r>
    </w:p>
    <w:p w14:paraId="2E839203" w14:textId="77777777" w:rsidR="0051548E" w:rsidRDefault="0051548E" w:rsidP="0051548E">
      <w:pPr>
        <w:pStyle w:val="Heading2"/>
        <w:rPr>
          <w:rFonts w:asciiTheme="minorHAnsi" w:eastAsiaTheme="minorHAnsi" w:hAnsiTheme="minorHAnsi" w:cstheme="minorBidi"/>
          <w:color w:val="auto"/>
          <w:sz w:val="20"/>
          <w:szCs w:val="22"/>
        </w:rPr>
      </w:pPr>
      <w:r w:rsidRPr="00EE3FC8">
        <w:rPr>
          <w:rFonts w:asciiTheme="minorHAnsi" w:eastAsiaTheme="minorHAnsi" w:hAnsiTheme="minorHAnsi" w:cstheme="minorBidi"/>
          <w:color w:val="auto"/>
          <w:sz w:val="20"/>
          <w:szCs w:val="22"/>
        </w:rPr>
        <w:t>DSI signals fall into seven canonical categories. All models must identify which categories they employ and document the specific signals within each</w:t>
      </w:r>
      <w:r w:rsidRPr="00507409">
        <w:rPr>
          <w:rFonts w:asciiTheme="minorHAnsi" w:eastAsiaTheme="minorHAnsi" w:hAnsiTheme="minorHAnsi" w:cstheme="minorBidi"/>
          <w:color w:val="auto"/>
          <w:sz w:val="20"/>
          <w:szCs w:val="22"/>
        </w:rPr>
        <w:t>.</w:t>
      </w:r>
    </w:p>
    <w:p w14:paraId="08854074" w14:textId="77777777" w:rsidR="0051548E" w:rsidRDefault="0051548E" w:rsidP="0051548E">
      <w:r>
        <w:t>The seven categories are:</w:t>
      </w:r>
    </w:p>
    <w:p w14:paraId="7B0660ED" w14:textId="77777777" w:rsidR="0051548E" w:rsidRDefault="0051548E" w:rsidP="0051548E">
      <w:pPr>
        <w:pStyle w:val="ListParagraph"/>
        <w:numPr>
          <w:ilvl w:val="0"/>
          <w:numId w:val="43"/>
        </w:numPr>
      </w:pPr>
      <w:r w:rsidRPr="005F2940">
        <w:rPr>
          <w:rFonts w:ascii="IBM Plex Sans SemiBold" w:hAnsi="IBM Plex Sans SemiBold"/>
        </w:rPr>
        <w:t>Network Authority Signals.</w:t>
      </w:r>
      <w:r w:rsidRPr="005F2940">
        <w:rPr>
          <w:rFonts w:ascii="IBM Plex Sans SemiBold" w:hAnsi="IBM Plex Sans SemiBold"/>
        </w:rPr>
        <w:br/>
      </w:r>
      <w:r w:rsidRPr="00EE3FC8">
        <w:t>Signals derived from an entity’s position within networks of trust, partnership, and transaction</w:t>
      </w:r>
      <w:r w:rsidRPr="006933FB">
        <w:t>.</w:t>
      </w:r>
    </w:p>
    <w:p w14:paraId="3EC16C8B" w14:textId="77777777" w:rsidR="0051548E" w:rsidRDefault="0051548E" w:rsidP="0051548E">
      <w:pPr>
        <w:pStyle w:val="ListParagraph"/>
        <w:numPr>
          <w:ilvl w:val="0"/>
          <w:numId w:val="43"/>
        </w:numPr>
      </w:pPr>
      <w:r w:rsidRPr="005F2940">
        <w:rPr>
          <w:rFonts w:ascii="IBM Plex Sans SemiBold" w:hAnsi="IBM Plex Sans SemiBold"/>
        </w:rPr>
        <w:t>Technical Infrastructure Signals.</w:t>
      </w:r>
      <w:r w:rsidRPr="005F2940">
        <w:rPr>
          <w:rFonts w:ascii="IBM Plex Sans SemiBold" w:hAnsi="IBM Plex Sans SemiBold"/>
        </w:rPr>
        <w:br/>
      </w:r>
      <w:r w:rsidRPr="00EE3FC8">
        <w:t>Signals derived from observable technical implementation (TLS, DNS, exposed services, software currency, hosting infrastructure)</w:t>
      </w:r>
      <w:r w:rsidRPr="00980A33">
        <w:t>.</w:t>
      </w:r>
    </w:p>
    <w:p w14:paraId="1D6DE17F" w14:textId="77777777" w:rsidR="0051548E" w:rsidRDefault="0051548E" w:rsidP="0051548E">
      <w:pPr>
        <w:pStyle w:val="ListParagraph"/>
        <w:numPr>
          <w:ilvl w:val="0"/>
          <w:numId w:val="43"/>
        </w:numPr>
      </w:pPr>
      <w:r w:rsidRPr="005F2940">
        <w:rPr>
          <w:rFonts w:ascii="IBM Plex Sans SemiBold" w:hAnsi="IBM Plex Sans SemiBold"/>
        </w:rPr>
        <w:t>Corporate Digital Footprint Signals.</w:t>
      </w:r>
      <w:r>
        <w:br/>
      </w:r>
      <w:r w:rsidRPr="00EE3FC8">
        <w:t>Signals derived from an entity’s own digital presence (website structure, content recency, policy documentation, leadership visibility, hiring activity)</w:t>
      </w:r>
      <w:r w:rsidRPr="00980A33">
        <w:t>.</w:t>
      </w:r>
    </w:p>
    <w:p w14:paraId="1B70862D" w14:textId="77777777" w:rsidR="0051548E" w:rsidRDefault="0051548E" w:rsidP="0051548E">
      <w:pPr>
        <w:pStyle w:val="ListParagraph"/>
        <w:numPr>
          <w:ilvl w:val="0"/>
          <w:numId w:val="43"/>
        </w:numPr>
      </w:pPr>
      <w:r w:rsidRPr="005F2940">
        <w:rPr>
          <w:rFonts w:ascii="IBM Plex Sans SemiBold" w:hAnsi="IBM Plex Sans SemiBold"/>
        </w:rPr>
        <w:t>Behavioural Signals.</w:t>
      </w:r>
      <w:r w:rsidRPr="005F2940">
        <w:rPr>
          <w:rFonts w:ascii="IBM Plex Sans SemiBold" w:hAnsi="IBM Plex Sans SemiBold"/>
        </w:rPr>
        <w:br/>
      </w:r>
      <w:r w:rsidRPr="004C051E">
        <w:t>Signals derived from observable operational behaviour over time (change patterns, incident response, regulatory engagement, customer/employee interaction)</w:t>
      </w:r>
      <w:r w:rsidRPr="00AB6E8C">
        <w:t>.</w:t>
      </w:r>
    </w:p>
    <w:p w14:paraId="46D8394D" w14:textId="77777777" w:rsidR="0051548E" w:rsidRDefault="0051548E" w:rsidP="0051548E">
      <w:pPr>
        <w:pStyle w:val="ListParagraph"/>
        <w:numPr>
          <w:ilvl w:val="0"/>
          <w:numId w:val="43"/>
        </w:numPr>
      </w:pPr>
      <w:r w:rsidRPr="005F2940">
        <w:rPr>
          <w:rFonts w:ascii="IBM Plex Sans SemiBold" w:hAnsi="IBM Plex Sans SemiBold"/>
        </w:rPr>
        <w:t>Public Record Signals.</w:t>
      </w:r>
      <w:r w:rsidRPr="005F2940">
        <w:rPr>
          <w:rFonts w:ascii="IBM Plex Sans SemiBold" w:hAnsi="IBM Plex Sans SemiBold"/>
        </w:rPr>
        <w:br/>
      </w:r>
      <w:r w:rsidRPr="004C051E">
        <w:t>Signals derived from regulatory filings, litigation records, corporate registries, IP filings, and breach disclosures</w:t>
      </w:r>
      <w:r w:rsidRPr="00AB6E8C">
        <w:t>.</w:t>
      </w:r>
    </w:p>
    <w:p w14:paraId="701B075A" w14:textId="77777777" w:rsidR="0051548E" w:rsidRDefault="0051548E" w:rsidP="0051548E">
      <w:pPr>
        <w:pStyle w:val="ListParagraph"/>
        <w:numPr>
          <w:ilvl w:val="0"/>
          <w:numId w:val="43"/>
        </w:numPr>
      </w:pPr>
      <w:r w:rsidRPr="005F2940">
        <w:rPr>
          <w:rFonts w:ascii="IBM Plex Sans SemiBold" w:hAnsi="IBM Plex Sans SemiBold"/>
        </w:rPr>
        <w:t>Structured Data Feed Signals.</w:t>
      </w:r>
      <w:r w:rsidRPr="005F2940">
        <w:rPr>
          <w:rFonts w:ascii="IBM Plex Sans SemiBold" w:hAnsi="IBM Plex Sans SemiBold"/>
        </w:rPr>
        <w:br/>
      </w:r>
      <w:r w:rsidRPr="004C051E">
        <w:t>Signals derived from authoritative third‑party providers (credit ratings, ESG scores, market data, classification society records)</w:t>
      </w:r>
      <w:r w:rsidRPr="00AB6E8C">
        <w:t>.</w:t>
      </w:r>
    </w:p>
    <w:p w14:paraId="57F5F35E" w14:textId="77777777" w:rsidR="0051548E" w:rsidRDefault="0051548E" w:rsidP="0051548E">
      <w:pPr>
        <w:pStyle w:val="ListParagraph"/>
        <w:numPr>
          <w:ilvl w:val="0"/>
          <w:numId w:val="43"/>
        </w:numPr>
      </w:pPr>
      <w:r w:rsidRPr="005F2940">
        <w:rPr>
          <w:rFonts w:ascii="IBM Plex Sans SemiBold" w:hAnsi="IBM Plex Sans SemiBold"/>
        </w:rPr>
        <w:t>Direct Inquiry Signals (Optional).</w:t>
      </w:r>
      <w:r w:rsidRPr="005F2940">
        <w:rPr>
          <w:rFonts w:ascii="IBM Plex Sans SemiBold" w:hAnsi="IBM Plex Sans SemiBold"/>
        </w:rPr>
        <w:br/>
      </w:r>
      <w:r w:rsidRPr="004C051E">
        <w:t>Minimal, structured questions used only when externally observable signals are insufficient</w:t>
      </w:r>
      <w:r>
        <w:t>.</w:t>
      </w:r>
    </w:p>
    <w:p w14:paraId="27A3E023" w14:textId="480E1740" w:rsidR="00125576" w:rsidRDefault="00125576" w:rsidP="00125576">
      <w:pPr>
        <w:pStyle w:val="Heading2"/>
      </w:pPr>
      <w:r>
        <w:t xml:space="preserve">Absence as </w:t>
      </w:r>
      <w:r w:rsidR="00DD1757">
        <w:t xml:space="preserve">a </w:t>
      </w:r>
      <w:r>
        <w:t>Signal</w:t>
      </w:r>
    </w:p>
    <w:p w14:paraId="2BB8EE00" w14:textId="6A759B1C" w:rsidR="0073639F" w:rsidRDefault="00125576" w:rsidP="0073639F">
      <w:pPr>
        <w:pStyle w:val="Callout"/>
      </w:pPr>
      <w:r>
        <w:t xml:space="preserve">Absence as </w:t>
      </w:r>
      <w:r w:rsidR="00DD1757">
        <w:t xml:space="preserve">a </w:t>
      </w:r>
      <w:r>
        <w:t xml:space="preserve">Signal is a foundational principle of DSI. </w:t>
      </w:r>
    </w:p>
    <w:p w14:paraId="58CED99B" w14:textId="2185EA3B" w:rsidR="00125576" w:rsidRDefault="00125576" w:rsidP="00125576">
      <w:r>
        <w:t xml:space="preserve">Where traditional underwriting treats missing data as unknown, requiring manual intervention to obtain it, DSI inverts this logic: </w:t>
      </w:r>
      <w:r w:rsidR="00DD1757">
        <w:t>absence</w:t>
      </w:r>
      <w:r>
        <w:t xml:space="preserve"> is itself a signal.</w:t>
      </w:r>
      <w:r w:rsidR="00DD1757">
        <w:t xml:space="preserve"> For example, w</w:t>
      </w:r>
      <w:r>
        <w:t>ell-run organisations have predictable digital footprints. A financial institution without security headers, a technology company without a careers page, a regulated entity without certification documentation—these absences are measurable negative indicators.</w:t>
      </w:r>
    </w:p>
    <w:p w14:paraId="0B4E54CF" w14:textId="77777777" w:rsidR="00125576" w:rsidRDefault="00125576" w:rsidP="00125576">
      <w:r>
        <w:t>Absence signals are scored, not ignored. This enables DSI to differentiate between entities where traditional features (industry code, size, geography) appear identical.</w:t>
      </w:r>
    </w:p>
    <w:p w14:paraId="416D2401" w14:textId="77777777" w:rsidR="00E574C4" w:rsidRDefault="00E574C4" w:rsidP="00125576"/>
    <w:p w14:paraId="2DA8A6FB" w14:textId="77777777" w:rsidR="00366AED" w:rsidRDefault="00366AED" w:rsidP="00366AED">
      <w:pPr>
        <w:pStyle w:val="Heading2"/>
      </w:pPr>
      <w:r>
        <w:lastRenderedPageBreak/>
        <w:t>Confidence as a First-Class Metric</w:t>
      </w:r>
    </w:p>
    <w:p w14:paraId="12B125B7" w14:textId="77777777" w:rsidR="00DD630B" w:rsidRDefault="00DD630B" w:rsidP="00DD630B">
      <w:r>
        <w:t>Every signal carries a confidence score alongside its value. This dual-output design enables the system to know when it knows—and critically, when it does not.</w:t>
      </w:r>
    </w:p>
    <w:p w14:paraId="3A1AA6D4" w14:textId="259026B1" w:rsidR="00366AED" w:rsidRDefault="00366AED" w:rsidP="00366AED">
      <w:r>
        <w:t>Confidence scores (0–1) reflect three dimensions:</w:t>
      </w:r>
    </w:p>
    <w:p w14:paraId="2B7EDCF9" w14:textId="77777777" w:rsidR="00366AED" w:rsidRDefault="00366AED" w:rsidP="00366AED">
      <w:pPr>
        <w:pStyle w:val="ListParagraph"/>
        <w:numPr>
          <w:ilvl w:val="0"/>
          <w:numId w:val="58"/>
        </w:numPr>
      </w:pPr>
      <w:r>
        <w:t>Data Availability: Was the signal successfully extracted from its source?</w:t>
      </w:r>
    </w:p>
    <w:p w14:paraId="3CEFFAA6" w14:textId="77777777" w:rsidR="00366AED" w:rsidRDefault="00366AED" w:rsidP="00366AED">
      <w:pPr>
        <w:pStyle w:val="ListParagraph"/>
        <w:numPr>
          <w:ilvl w:val="0"/>
          <w:numId w:val="58"/>
        </w:numPr>
      </w:pPr>
      <w:r>
        <w:t>Source Reliability: How authoritative is the data source?</w:t>
      </w:r>
    </w:p>
    <w:p w14:paraId="5D6F8300" w14:textId="77777777" w:rsidR="00366AED" w:rsidRDefault="00366AED" w:rsidP="00366AED">
      <w:pPr>
        <w:pStyle w:val="ListParagraph"/>
        <w:numPr>
          <w:ilvl w:val="0"/>
          <w:numId w:val="58"/>
        </w:numPr>
      </w:pPr>
      <w:r>
        <w:t>Signal Freshness: How recently was the data captured?</w:t>
      </w:r>
    </w:p>
    <w:p w14:paraId="1A0188E5" w14:textId="77777777" w:rsidR="00366AED" w:rsidRDefault="00366AED" w:rsidP="00366AED">
      <w:r>
        <w:t>Weighted confidence propagates through composite scoring, producing an overall model confidence that determines decisioning authority.</w:t>
      </w:r>
    </w:p>
    <w:p w14:paraId="5325DB79" w14:textId="77777777" w:rsidR="002443A9" w:rsidRDefault="002443A9" w:rsidP="002443A9">
      <w:pPr>
        <w:pStyle w:val="Heading1"/>
      </w:pPr>
      <w:r>
        <w:t>End-to-End Model Architecture</w:t>
      </w:r>
    </w:p>
    <w:p w14:paraId="6E61998E" w14:textId="7096D982" w:rsidR="002443A9" w:rsidRDefault="00744AD2" w:rsidP="002443A9">
      <w:r w:rsidRPr="00744AD2">
        <w:t>Models convert raw signals into deterministic underwriting outputs through a structured workflow comprising six phases and fourteen discrete steps.</w:t>
      </w:r>
    </w:p>
    <w:p w14:paraId="2058CEC2" w14:textId="77777777" w:rsidR="00744AD2" w:rsidRDefault="00744AD2" w:rsidP="00744AD2">
      <w:r>
        <w:t>The structured workflow is:</w:t>
      </w:r>
    </w:p>
    <w:p w14:paraId="0A00B74E" w14:textId="77777777" w:rsidR="00744AD2" w:rsidRDefault="00744AD2" w:rsidP="00744AD2">
      <w:r w:rsidRPr="007A5962">
        <w:rPr>
          <w:rFonts w:ascii="IBM Plex Sans SemiBold" w:hAnsi="IBM Plex Sans SemiBold"/>
        </w:rPr>
        <w:t>Phase A – Discovery (Step 0)</w:t>
      </w:r>
    </w:p>
    <w:p w14:paraId="5884E21B" w14:textId="77777777" w:rsidR="00744AD2" w:rsidRDefault="00744AD2" w:rsidP="00744AD2">
      <w:pPr>
        <w:pStyle w:val="ListParagraph"/>
        <w:numPr>
          <w:ilvl w:val="0"/>
          <w:numId w:val="53"/>
        </w:numPr>
      </w:pPr>
      <w:r>
        <w:t xml:space="preserve">Entity identification from minimal viable input (typically client name and / or domain) triggers website discovery, validation, and corporate identity resolution. </w:t>
      </w:r>
    </w:p>
    <w:p w14:paraId="7CE31D8A" w14:textId="77777777" w:rsidR="00744AD2" w:rsidRDefault="00744AD2" w:rsidP="00744AD2">
      <w:pPr>
        <w:pStyle w:val="ListParagraph"/>
        <w:numPr>
          <w:ilvl w:val="0"/>
          <w:numId w:val="53"/>
        </w:numPr>
      </w:pPr>
      <w:r>
        <w:t>Outputs the discovered website URL, domain, confidence score, and corporate identity.</w:t>
      </w:r>
    </w:p>
    <w:p w14:paraId="7BC98F5D" w14:textId="09B586DB" w:rsidR="0006341C" w:rsidRDefault="0006341C" w:rsidP="00744AD2">
      <w:pPr>
        <w:rPr>
          <w:rFonts w:ascii="IBM Plex Sans SemiBold" w:hAnsi="IBM Plex Sans SemiBold"/>
        </w:rPr>
      </w:pPr>
      <w:r>
        <w:rPr>
          <w:rFonts w:ascii="IBM Plex Sans SemiBold" w:hAnsi="IBM Plex Sans SemiBold"/>
        </w:rPr>
        <w:t xml:space="preserve">Phase B </w:t>
      </w:r>
      <w:r w:rsidR="00CE65B4">
        <w:rPr>
          <w:rFonts w:ascii="IBM Plex Sans SemiBold" w:hAnsi="IBM Plex Sans SemiBold"/>
        </w:rPr>
        <w:t>–</w:t>
      </w:r>
      <w:r>
        <w:rPr>
          <w:rFonts w:ascii="IBM Plex Sans SemiBold" w:hAnsi="IBM Plex Sans SemiBold"/>
        </w:rPr>
        <w:t xml:space="preserve"> </w:t>
      </w:r>
      <w:r w:rsidR="00CE65B4">
        <w:rPr>
          <w:rFonts w:ascii="IBM Plex Sans SemiBold" w:hAnsi="IBM Plex Sans SemiBold"/>
        </w:rPr>
        <w:t>Model I</w:t>
      </w:r>
      <w:r w:rsidR="00CE65B4" w:rsidRPr="00CE65B4">
        <w:rPr>
          <w:rFonts w:ascii="IBM Plex Sans SemiBold" w:hAnsi="IBM Plex Sans SemiBold"/>
        </w:rPr>
        <w:t>nstantiation</w:t>
      </w:r>
      <w:r w:rsidR="00CE65B4">
        <w:rPr>
          <w:rFonts w:ascii="IBM Plex Sans SemiBold" w:hAnsi="IBM Plex Sans SemiBold"/>
        </w:rPr>
        <w:t xml:space="preserve"> (Step 1)</w:t>
      </w:r>
    </w:p>
    <w:p w14:paraId="05AE00AD" w14:textId="77777777" w:rsidR="00CE65B4" w:rsidRDefault="00CE65B4" w:rsidP="00CE65B4">
      <w:pPr>
        <w:pStyle w:val="ListParagraph"/>
        <w:numPr>
          <w:ilvl w:val="0"/>
          <w:numId w:val="73"/>
        </w:numPr>
      </w:pPr>
      <w:r>
        <w:t xml:space="preserve">Configuration instantiation using content-addressable storage. </w:t>
      </w:r>
    </w:p>
    <w:p w14:paraId="7F5C94DB" w14:textId="77777777" w:rsidR="00CE65B4" w:rsidRDefault="00CE65B4" w:rsidP="00CE65B4">
      <w:pPr>
        <w:pStyle w:val="ListParagraph"/>
        <w:numPr>
          <w:ilvl w:val="0"/>
          <w:numId w:val="73"/>
        </w:numPr>
      </w:pPr>
      <w:r>
        <w:t xml:space="preserve">Model version creation with full audit trail. </w:t>
      </w:r>
    </w:p>
    <w:p w14:paraId="04AFB99B" w14:textId="190BF068" w:rsidR="00CE65B4" w:rsidRPr="00CE65B4" w:rsidRDefault="00CE65B4" w:rsidP="00CE65B4">
      <w:pPr>
        <w:pStyle w:val="ListParagraph"/>
        <w:numPr>
          <w:ilvl w:val="0"/>
          <w:numId w:val="73"/>
        </w:numPr>
      </w:pPr>
      <w:r>
        <w:t xml:space="preserve">Input verification against minimum viable requirements. </w:t>
      </w:r>
    </w:p>
    <w:p w14:paraId="2FF14160" w14:textId="1B4F45D5" w:rsidR="00744AD2" w:rsidRDefault="00744AD2" w:rsidP="00744AD2">
      <w:pPr>
        <w:rPr>
          <w:rFonts w:ascii="IBM Plex Sans SemiBold" w:hAnsi="IBM Plex Sans SemiBold"/>
        </w:rPr>
      </w:pPr>
      <w:r w:rsidRPr="007A5962">
        <w:rPr>
          <w:rFonts w:ascii="IBM Plex Sans SemiBold" w:hAnsi="IBM Plex Sans SemiBold"/>
        </w:rPr>
        <w:t xml:space="preserve">Phase </w:t>
      </w:r>
      <w:r w:rsidR="00AA24B4">
        <w:rPr>
          <w:rFonts w:ascii="IBM Plex Sans SemiBold" w:hAnsi="IBM Plex Sans SemiBold"/>
        </w:rPr>
        <w:t>C</w:t>
      </w:r>
      <w:r w:rsidRPr="007A5962">
        <w:rPr>
          <w:rFonts w:ascii="IBM Plex Sans SemiBold" w:hAnsi="IBM Plex Sans SemiBold"/>
        </w:rPr>
        <w:t xml:space="preserve"> – Signal</w:t>
      </w:r>
      <w:r w:rsidR="0006341C">
        <w:rPr>
          <w:rFonts w:ascii="IBM Plex Sans SemiBold" w:hAnsi="IBM Plex Sans SemiBold"/>
        </w:rPr>
        <w:t xml:space="preserve">s </w:t>
      </w:r>
      <w:r w:rsidRPr="007A5962">
        <w:rPr>
          <w:rFonts w:ascii="IBM Plex Sans SemiBold" w:hAnsi="IBM Plex Sans SemiBold"/>
        </w:rPr>
        <w:t xml:space="preserve">(Steps </w:t>
      </w:r>
      <w:r w:rsidR="00AA24B4">
        <w:rPr>
          <w:rFonts w:ascii="IBM Plex Sans SemiBold" w:hAnsi="IBM Plex Sans SemiBold"/>
        </w:rPr>
        <w:t>2</w:t>
      </w:r>
      <w:r w:rsidRPr="007A5962">
        <w:rPr>
          <w:rFonts w:ascii="IBM Plex Sans SemiBold" w:hAnsi="IBM Plex Sans SemiBold"/>
        </w:rPr>
        <w:t>–4)</w:t>
      </w:r>
    </w:p>
    <w:p w14:paraId="72C3218E" w14:textId="77777777" w:rsidR="00744AD2" w:rsidRDefault="00744AD2" w:rsidP="00744AD2">
      <w:pPr>
        <w:pStyle w:val="ListParagraph"/>
        <w:numPr>
          <w:ilvl w:val="0"/>
          <w:numId w:val="54"/>
        </w:numPr>
      </w:pPr>
      <w:r>
        <w:t>Parallel signal extraction across all configured pipelines.</w:t>
      </w:r>
    </w:p>
    <w:p w14:paraId="6A6D3FC8" w14:textId="7B1F803A" w:rsidR="00AA24B4" w:rsidRDefault="00AA24B4" w:rsidP="00AA24B4">
      <w:pPr>
        <w:pStyle w:val="ListParagraph"/>
        <w:numPr>
          <w:ilvl w:val="0"/>
          <w:numId w:val="54"/>
        </w:numPr>
      </w:pPr>
      <w:r>
        <w:t>Signals are normalised to a value between 0–100 using defined scoring algorithms. A confidence score (0–1) reflects availability, source reliability, and data freshness.</w:t>
      </w:r>
    </w:p>
    <w:p w14:paraId="42EB3474" w14:textId="64347E50" w:rsidR="00744AD2" w:rsidRDefault="00744AD2" w:rsidP="00744AD2">
      <w:pPr>
        <w:rPr>
          <w:rFonts w:ascii="IBM Plex Sans SemiBold" w:hAnsi="IBM Plex Sans SemiBold"/>
        </w:rPr>
      </w:pPr>
      <w:r w:rsidRPr="007A5962">
        <w:rPr>
          <w:rFonts w:ascii="IBM Plex Sans SemiBold" w:hAnsi="IBM Plex Sans SemiBold"/>
        </w:rPr>
        <w:t xml:space="preserve">Phase </w:t>
      </w:r>
      <w:r w:rsidR="00AA24B4">
        <w:rPr>
          <w:rFonts w:ascii="IBM Plex Sans SemiBold" w:hAnsi="IBM Plex Sans SemiBold"/>
        </w:rPr>
        <w:t>D</w:t>
      </w:r>
      <w:r w:rsidRPr="007A5962">
        <w:rPr>
          <w:rFonts w:ascii="IBM Plex Sans SemiBold" w:hAnsi="IBM Plex Sans SemiBold"/>
        </w:rPr>
        <w:t xml:space="preserve"> – </w:t>
      </w:r>
      <w:r w:rsidR="00464564">
        <w:rPr>
          <w:rFonts w:ascii="IBM Plex Sans SemiBold" w:hAnsi="IBM Plex Sans SemiBold"/>
        </w:rPr>
        <w:t xml:space="preserve">Three </w:t>
      </w:r>
      <w:r w:rsidR="00681114">
        <w:rPr>
          <w:rFonts w:ascii="IBM Plex Sans SemiBold" w:hAnsi="IBM Plex Sans SemiBold"/>
        </w:rPr>
        <w:t>Layer Assessment</w:t>
      </w:r>
      <w:r w:rsidRPr="007A5962">
        <w:rPr>
          <w:rFonts w:ascii="IBM Plex Sans SemiBold" w:hAnsi="IBM Plex Sans SemiBold"/>
        </w:rPr>
        <w:t xml:space="preserve"> (Steps 5–</w:t>
      </w:r>
      <w:r w:rsidR="00464564">
        <w:rPr>
          <w:rFonts w:ascii="IBM Plex Sans SemiBold" w:hAnsi="IBM Plex Sans SemiBold"/>
        </w:rPr>
        <w:t>7</w:t>
      </w:r>
      <w:r w:rsidRPr="007A5962">
        <w:rPr>
          <w:rFonts w:ascii="IBM Plex Sans SemiBold" w:hAnsi="IBM Plex Sans SemiBold"/>
        </w:rPr>
        <w:t>)</w:t>
      </w:r>
      <w:r w:rsidR="007D32D7">
        <w:rPr>
          <w:rFonts w:ascii="IBM Plex Sans SemiBold" w:hAnsi="IBM Plex Sans SemiBold"/>
        </w:rPr>
        <w:t xml:space="preserve"> – detailed in following section.</w:t>
      </w:r>
    </w:p>
    <w:p w14:paraId="3C4B813C" w14:textId="0F322F29" w:rsidR="00744AD2" w:rsidRDefault="00A35934" w:rsidP="00744AD2">
      <w:pPr>
        <w:pStyle w:val="ListParagraph"/>
        <w:numPr>
          <w:ilvl w:val="0"/>
          <w:numId w:val="47"/>
        </w:numPr>
      </w:pPr>
      <w:r w:rsidRPr="00A35934">
        <w:rPr>
          <w:rFonts w:ascii="IBM Plex Sans SemiBold" w:hAnsi="IBM Plex Sans SemiBold"/>
        </w:rPr>
        <w:t>Risk Layer.</w:t>
      </w:r>
      <w:r>
        <w:br/>
      </w:r>
      <w:r w:rsidR="0077206E">
        <w:t>Pure composite score</w:t>
      </w:r>
      <w:r w:rsidR="0006341C">
        <w:t>, on a 0-1000 scale, calculated.</w:t>
      </w:r>
      <w:r w:rsidR="00CF4D4C">
        <w:br/>
      </w:r>
      <w:r w:rsidR="00686DF7">
        <w:t>Composite scores map to configurable risk tier.</w:t>
      </w:r>
      <w:r>
        <w:br/>
      </w:r>
      <w:r w:rsidR="00744AD2">
        <w:t>Signal condition evaluation for tier overrides, referrals,</w:t>
      </w:r>
      <w:r w:rsidR="00744C5F">
        <w:t xml:space="preserve"> modifiers,</w:t>
      </w:r>
      <w:r w:rsidR="00744AD2">
        <w:t xml:space="preserve"> and notes.</w:t>
      </w:r>
    </w:p>
    <w:p w14:paraId="1A420763" w14:textId="722229A4" w:rsidR="00AA24B4" w:rsidRPr="00AA24B4" w:rsidRDefault="00394ED0" w:rsidP="00394ED0">
      <w:pPr>
        <w:pStyle w:val="ListParagraph"/>
        <w:numPr>
          <w:ilvl w:val="0"/>
          <w:numId w:val="47"/>
        </w:numPr>
      </w:pPr>
      <w:r w:rsidRPr="00394ED0">
        <w:rPr>
          <w:rFonts w:ascii="IBM Plex Sans SemiBold" w:hAnsi="IBM Plex Sans SemiBold"/>
        </w:rPr>
        <w:t>Exposure Shadow Layer</w:t>
      </w:r>
      <w:r w:rsidRPr="00394ED0">
        <w:rPr>
          <w:rFonts w:ascii="IBM Plex Sans SemiBold" w:hAnsi="IBM Plex Sans SemiBold"/>
        </w:rPr>
        <w:t>.</w:t>
      </w:r>
      <w:r>
        <w:br/>
        <w:t>C</w:t>
      </w:r>
      <w:r w:rsidRPr="00394ED0">
        <w:t xml:space="preserve">alculate magnitude and complexity scores. </w:t>
      </w:r>
    </w:p>
    <w:p w14:paraId="0221697A" w14:textId="3871072D" w:rsidR="00FA6F11" w:rsidRDefault="00AA24B4" w:rsidP="00394ED0">
      <w:pPr>
        <w:pStyle w:val="ListParagraph"/>
        <w:numPr>
          <w:ilvl w:val="0"/>
          <w:numId w:val="47"/>
        </w:numPr>
      </w:pPr>
      <w:r>
        <w:rPr>
          <w:rFonts w:ascii="IBM Plex Sans SemiBold" w:hAnsi="IBM Plex Sans SemiBold"/>
        </w:rPr>
        <w:t>L</w:t>
      </w:r>
      <w:r w:rsidR="00394ED0" w:rsidRPr="00394ED0">
        <w:rPr>
          <w:rFonts w:ascii="IBM Plex Sans SemiBold" w:hAnsi="IBM Plex Sans SemiBold"/>
        </w:rPr>
        <w:t>oss Correlation Layer</w:t>
      </w:r>
      <w:r w:rsidR="00394ED0" w:rsidRPr="00394ED0">
        <w:rPr>
          <w:rFonts w:ascii="IBM Plex Sans SemiBold" w:hAnsi="IBM Plex Sans SemiBold"/>
        </w:rPr>
        <w:t>.</w:t>
      </w:r>
      <w:r w:rsidR="00394ED0">
        <w:br/>
        <w:t>C</w:t>
      </w:r>
      <w:r w:rsidR="00394ED0" w:rsidRPr="00394ED0">
        <w:t xml:space="preserve">alculates loss propensity and severity scores. </w:t>
      </w:r>
    </w:p>
    <w:p w14:paraId="78A3EB18" w14:textId="77777777" w:rsidR="00744AD2" w:rsidRDefault="00744AD2" w:rsidP="00744AD2">
      <w:r w:rsidRPr="007A5962">
        <w:rPr>
          <w:rFonts w:ascii="IBM Plex Sans SemiBold" w:hAnsi="IBM Plex Sans SemiBold"/>
        </w:rPr>
        <w:t>Phase E – Pricing (Steps 8–12)</w:t>
      </w:r>
    </w:p>
    <w:p w14:paraId="78DA62E7" w14:textId="79807418" w:rsidR="00744AD2" w:rsidRDefault="00744AD2" w:rsidP="00744AD2">
      <w:pPr>
        <w:pStyle w:val="ListParagraph"/>
        <w:numPr>
          <w:ilvl w:val="0"/>
          <w:numId w:val="57"/>
        </w:numPr>
      </w:pPr>
      <w:r>
        <w:t>Final tier resolution applying maximum override rule.</w:t>
      </w:r>
      <w:r w:rsidR="00686DF7">
        <w:t xml:space="preserve"> Each </w:t>
      </w:r>
      <w:r w:rsidR="00686DF7">
        <w:t>carries a pre-defined decision logic. For example, composite score ≥ 800 | auto-approve | excellent risk.</w:t>
      </w:r>
    </w:p>
    <w:p w14:paraId="13AD99DF" w14:textId="166A286F" w:rsidR="00C00F39" w:rsidRDefault="00C00F39" w:rsidP="00744AD2">
      <w:pPr>
        <w:pStyle w:val="ListParagraph"/>
        <w:numPr>
          <w:ilvl w:val="0"/>
          <w:numId w:val="57"/>
        </w:numPr>
      </w:pPr>
      <w:r>
        <w:t xml:space="preserve">Three Layer Assessment </w:t>
      </w:r>
      <w:r w:rsidR="00976A32" w:rsidRPr="00976A32">
        <w:t>determine</w:t>
      </w:r>
      <w:r>
        <w:t>s</w:t>
      </w:r>
      <w:r w:rsidR="00976A32" w:rsidRPr="00976A32">
        <w:t xml:space="preserve"> a base</w:t>
      </w:r>
      <w:r>
        <w:t>-</w:t>
      </w:r>
      <w:r w:rsidR="00976A32" w:rsidRPr="00976A32">
        <w:t>rate</w:t>
      </w:r>
      <w:r>
        <w:t xml:space="preserve"> premium</w:t>
      </w:r>
      <w:r w:rsidR="00B17A47">
        <w:t>.</w:t>
      </w:r>
    </w:p>
    <w:p w14:paraId="546842AD" w14:textId="0FB0FB83" w:rsidR="00976A32" w:rsidRDefault="00976A32" w:rsidP="00744AD2">
      <w:pPr>
        <w:pStyle w:val="ListParagraph"/>
        <w:numPr>
          <w:ilvl w:val="0"/>
          <w:numId w:val="57"/>
        </w:numPr>
      </w:pPr>
      <w:r w:rsidRPr="00976A32">
        <w:lastRenderedPageBreak/>
        <w:t xml:space="preserve">Deterministic modifiers are applied in sequence. </w:t>
      </w:r>
    </w:p>
    <w:p w14:paraId="008A4D3B" w14:textId="0DF7E44B" w:rsidR="00976A32" w:rsidRDefault="00976A32" w:rsidP="00744AD2">
      <w:pPr>
        <w:pStyle w:val="ListParagraph"/>
        <w:numPr>
          <w:ilvl w:val="0"/>
          <w:numId w:val="57"/>
        </w:numPr>
      </w:pPr>
      <w:r w:rsidRPr="00976A32">
        <w:t>Limit band scaling us</w:t>
      </w:r>
      <w:r>
        <w:t>ing</w:t>
      </w:r>
      <w:r w:rsidRPr="00976A32">
        <w:t xml:space="preserve"> ILF tables.</w:t>
      </w:r>
    </w:p>
    <w:p w14:paraId="400EBBD2" w14:textId="77777777" w:rsidR="00744AD2" w:rsidRDefault="00744AD2" w:rsidP="00744AD2">
      <w:pPr>
        <w:rPr>
          <w:rFonts w:ascii="IBM Plex Sans SemiBold" w:hAnsi="IBM Plex Sans SemiBold"/>
        </w:rPr>
      </w:pPr>
      <w:r w:rsidRPr="007A5962">
        <w:rPr>
          <w:rFonts w:ascii="IBM Plex Sans SemiBold" w:hAnsi="IBM Plex Sans SemiBold"/>
        </w:rPr>
        <w:t>Phase F – Decision (Step 13)</w:t>
      </w:r>
    </w:p>
    <w:p w14:paraId="10484614" w14:textId="77777777" w:rsidR="00744AD2" w:rsidRDefault="00744AD2" w:rsidP="00744AD2">
      <w:pPr>
        <w:pStyle w:val="ListParagraph"/>
        <w:numPr>
          <w:ilvl w:val="0"/>
          <w:numId w:val="56"/>
        </w:numPr>
      </w:pPr>
      <w:r>
        <w:t xml:space="preserve">Final decision determination: Approve, Refer, or Decline. </w:t>
      </w:r>
    </w:p>
    <w:p w14:paraId="3FB51820" w14:textId="77777777" w:rsidR="00744AD2" w:rsidRDefault="00744AD2" w:rsidP="00744AD2">
      <w:pPr>
        <w:pStyle w:val="ListParagraph"/>
        <w:numPr>
          <w:ilvl w:val="0"/>
          <w:numId w:val="56"/>
        </w:numPr>
      </w:pPr>
      <w:r>
        <w:t xml:space="preserve">Full audit trail persistence. </w:t>
      </w:r>
    </w:p>
    <w:p w14:paraId="216B5992" w14:textId="77777777" w:rsidR="00744AD2" w:rsidRDefault="00744AD2" w:rsidP="00744AD2">
      <w:pPr>
        <w:pStyle w:val="ListParagraph"/>
        <w:numPr>
          <w:ilvl w:val="0"/>
          <w:numId w:val="56"/>
        </w:numPr>
      </w:pPr>
      <w:r>
        <w:t>Model version finalisation.</w:t>
      </w:r>
    </w:p>
    <w:p w14:paraId="023B0A82" w14:textId="3A8DDBF3" w:rsidR="00464564" w:rsidRDefault="00464564" w:rsidP="00464564">
      <w:pPr>
        <w:pStyle w:val="Heading1"/>
      </w:pPr>
      <w:r>
        <w:t xml:space="preserve">Three Layer </w:t>
      </w:r>
      <w:r>
        <w:t>Assessment</w:t>
      </w:r>
    </w:p>
    <w:p w14:paraId="2E0ECC35" w14:textId="60C11EC2" w:rsidR="00464564" w:rsidRDefault="00464564" w:rsidP="00464564">
      <w:r>
        <w:t xml:space="preserve">Traditional underwriting conflates three distinct </w:t>
      </w:r>
      <w:r w:rsidR="00B17A47">
        <w:t>analytical assessments</w:t>
      </w:r>
      <w:r>
        <w:t xml:space="preserve"> into a single, subjective, aggregated assessment. These are:</w:t>
      </w:r>
    </w:p>
    <w:tbl>
      <w:tblPr>
        <w:tblStyle w:val="TableGrid"/>
        <w:tblW w:w="8642" w:type="dxa"/>
        <w:tblLook w:val="04A0" w:firstRow="1" w:lastRow="0" w:firstColumn="1" w:lastColumn="0" w:noHBand="0" w:noVBand="1"/>
      </w:tblPr>
      <w:tblGrid>
        <w:gridCol w:w="1199"/>
        <w:gridCol w:w="4597"/>
        <w:gridCol w:w="2846"/>
      </w:tblGrid>
      <w:tr w:rsidR="00EC7B69" w14:paraId="5EE50FC2" w14:textId="77777777" w:rsidTr="00EC7B69">
        <w:trPr>
          <w:trHeight w:val="197"/>
          <w:tblHeader/>
        </w:trPr>
        <w:tc>
          <w:tcPr>
            <w:tcW w:w="1199" w:type="dxa"/>
            <w:shd w:val="clear" w:color="auto" w:fill="7A766F" w:themeFill="accent5"/>
          </w:tcPr>
          <w:p w14:paraId="72B76A5B" w14:textId="48139C40" w:rsidR="00EC7B69" w:rsidRDefault="00EC7B69" w:rsidP="000A03F5">
            <w:pPr>
              <w:jc w:val="center"/>
              <w:rPr>
                <w:color w:val="FFFFFF" w:themeColor="background1"/>
              </w:rPr>
            </w:pPr>
            <w:r>
              <w:rPr>
                <w:color w:val="FFFFFF" w:themeColor="background1"/>
              </w:rPr>
              <w:t>Layer</w:t>
            </w:r>
          </w:p>
        </w:tc>
        <w:tc>
          <w:tcPr>
            <w:tcW w:w="4597" w:type="dxa"/>
            <w:shd w:val="clear" w:color="auto" w:fill="7A766F" w:themeFill="accent5"/>
          </w:tcPr>
          <w:p w14:paraId="017811B5" w14:textId="24CA22D0" w:rsidR="00EC7B69" w:rsidRPr="0007440B" w:rsidRDefault="00EC7B69" w:rsidP="000A03F5">
            <w:pPr>
              <w:jc w:val="center"/>
              <w:rPr>
                <w:color w:val="FFFFFF" w:themeColor="background1"/>
              </w:rPr>
            </w:pPr>
            <w:r>
              <w:rPr>
                <w:color w:val="FFFFFF" w:themeColor="background1"/>
              </w:rPr>
              <w:t>Assessment</w:t>
            </w:r>
          </w:p>
        </w:tc>
        <w:tc>
          <w:tcPr>
            <w:tcW w:w="2846" w:type="dxa"/>
            <w:shd w:val="clear" w:color="auto" w:fill="7A766F" w:themeFill="accent5"/>
          </w:tcPr>
          <w:p w14:paraId="764C0EEA" w14:textId="0CC0ED4F" w:rsidR="00EC7B69" w:rsidRPr="0007440B" w:rsidRDefault="00EC7B69" w:rsidP="000A03F5">
            <w:pPr>
              <w:jc w:val="center"/>
              <w:rPr>
                <w:color w:val="FFFFFF" w:themeColor="background1"/>
              </w:rPr>
            </w:pPr>
            <w:r>
              <w:rPr>
                <w:color w:val="FFFFFF" w:themeColor="background1"/>
              </w:rPr>
              <w:t>Traditional Output</w:t>
            </w:r>
          </w:p>
        </w:tc>
      </w:tr>
      <w:tr w:rsidR="00EC7B69" w14:paraId="3F30F884" w14:textId="77777777" w:rsidTr="00EC7B69">
        <w:trPr>
          <w:trHeight w:val="394"/>
        </w:trPr>
        <w:tc>
          <w:tcPr>
            <w:tcW w:w="1199" w:type="dxa"/>
          </w:tcPr>
          <w:p w14:paraId="149A684F" w14:textId="07F6FCDD" w:rsidR="00EC7B69" w:rsidRPr="005019B1" w:rsidRDefault="00EC7B69" w:rsidP="000A03F5">
            <w:r>
              <w:t>Risk</w:t>
            </w:r>
          </w:p>
        </w:tc>
        <w:tc>
          <w:tcPr>
            <w:tcW w:w="4597" w:type="dxa"/>
          </w:tcPr>
          <w:p w14:paraId="02A06895" w14:textId="1127856F" w:rsidR="00EC7B69" w:rsidRDefault="00EC7B69" w:rsidP="00EC7B69">
            <w:r w:rsidRPr="003C579C">
              <w:t xml:space="preserve">How well </w:t>
            </w:r>
            <w:r>
              <w:t xml:space="preserve">does this organisation </w:t>
            </w:r>
            <w:r w:rsidRPr="003C579C">
              <w:t xml:space="preserve">manage risk? </w:t>
            </w:r>
          </w:p>
        </w:tc>
        <w:tc>
          <w:tcPr>
            <w:tcW w:w="2846" w:type="dxa"/>
          </w:tcPr>
          <w:p w14:paraId="5ED8D359" w14:textId="1F623447" w:rsidR="00EC7B69" w:rsidRDefault="00EC7B69" w:rsidP="000A03F5">
            <w:r>
              <w:t>Subjective Assessment.</w:t>
            </w:r>
          </w:p>
        </w:tc>
      </w:tr>
      <w:tr w:rsidR="00EC7B69" w14:paraId="73613B12" w14:textId="77777777" w:rsidTr="00EC7B69">
        <w:trPr>
          <w:trHeight w:val="394"/>
        </w:trPr>
        <w:tc>
          <w:tcPr>
            <w:tcW w:w="1199" w:type="dxa"/>
            <w:shd w:val="clear" w:color="auto" w:fill="E8E3DA" w:themeFill="background2"/>
          </w:tcPr>
          <w:p w14:paraId="54BAC21C" w14:textId="02939C53" w:rsidR="00EC7B69" w:rsidRPr="005019B1" w:rsidRDefault="00EC7B69" w:rsidP="000A03F5">
            <w:r>
              <w:t>Exposure</w:t>
            </w:r>
          </w:p>
        </w:tc>
        <w:tc>
          <w:tcPr>
            <w:tcW w:w="4597" w:type="dxa"/>
            <w:shd w:val="clear" w:color="auto" w:fill="E8E3DA" w:themeFill="background2"/>
          </w:tcPr>
          <w:p w14:paraId="1BB58411" w14:textId="3436A680" w:rsidR="00EC7B69" w:rsidRDefault="00EC7B69" w:rsidP="00EC7B69">
            <w:r w:rsidRPr="003C579C">
              <w:t xml:space="preserve">How large is the insurable exposure? </w:t>
            </w:r>
          </w:p>
        </w:tc>
        <w:tc>
          <w:tcPr>
            <w:tcW w:w="2846" w:type="dxa"/>
            <w:shd w:val="clear" w:color="auto" w:fill="E8E3DA" w:themeFill="background2"/>
          </w:tcPr>
          <w:p w14:paraId="1D983620" w14:textId="6D035D1C" w:rsidR="00EC7B69" w:rsidRDefault="00EC7B69" w:rsidP="000A03F5">
            <w:r>
              <w:t>Self-reported SOV.</w:t>
            </w:r>
          </w:p>
        </w:tc>
      </w:tr>
      <w:tr w:rsidR="00EC7B69" w14:paraId="3D72BE2D" w14:textId="77777777" w:rsidTr="00EC7B69">
        <w:trPr>
          <w:trHeight w:val="394"/>
        </w:trPr>
        <w:tc>
          <w:tcPr>
            <w:tcW w:w="1199" w:type="dxa"/>
          </w:tcPr>
          <w:p w14:paraId="74240C62" w14:textId="46F7C52F" w:rsidR="00EC7B69" w:rsidRPr="005019B1" w:rsidRDefault="00EC7B69" w:rsidP="000A03F5">
            <w:r>
              <w:t>Loss</w:t>
            </w:r>
          </w:p>
        </w:tc>
        <w:tc>
          <w:tcPr>
            <w:tcW w:w="4597" w:type="dxa"/>
          </w:tcPr>
          <w:p w14:paraId="25FC0CB4" w14:textId="2F9E58AA" w:rsidR="00EC7B69" w:rsidRDefault="00EC7B69" w:rsidP="00EC7B69">
            <w:r w:rsidRPr="003C579C">
              <w:t>How likely is a loss event?</w:t>
            </w:r>
          </w:p>
        </w:tc>
        <w:tc>
          <w:tcPr>
            <w:tcW w:w="2846" w:type="dxa"/>
          </w:tcPr>
          <w:p w14:paraId="51802E08" w14:textId="5D4EDE25" w:rsidR="00EC7B69" w:rsidRDefault="00EC7B69" w:rsidP="000A03F5">
            <w:r>
              <w:t>Historical Loss Data.</w:t>
            </w:r>
          </w:p>
        </w:tc>
      </w:tr>
    </w:tbl>
    <w:p w14:paraId="31A39FF2" w14:textId="605C95B0" w:rsidR="00464564" w:rsidRDefault="00EC7B69" w:rsidP="00464564">
      <w:pPr>
        <w:pStyle w:val="Callout"/>
      </w:pPr>
      <w:r>
        <w:br/>
      </w:r>
      <w:r w:rsidR="00464564">
        <w:t xml:space="preserve">DSI separates these into independent, measurable analytical dimensions. </w:t>
      </w:r>
    </w:p>
    <w:p w14:paraId="6D3BDB82" w14:textId="77777777" w:rsidR="00464564" w:rsidRDefault="00464564" w:rsidP="00464564">
      <w:r>
        <w:t>Each dimension is assessed independently using the same underlying signal infrastructure, then combined into a unified pricing decision. Critically, each dimension, including the method of aggregation, is captured at the atomic grain.</w:t>
      </w:r>
    </w:p>
    <w:p w14:paraId="2C60F257" w14:textId="33497EDE" w:rsidR="00464564" w:rsidRDefault="00384A70" w:rsidP="00464564">
      <w:pPr>
        <w:pStyle w:val="Heading2"/>
      </w:pPr>
      <w:r>
        <w:t xml:space="preserve">Risk </w:t>
      </w:r>
      <w:r w:rsidR="00464564">
        <w:t>Assessmen</w:t>
      </w:r>
      <w:r>
        <w:t>t</w:t>
      </w:r>
    </w:p>
    <w:p w14:paraId="5753769D" w14:textId="37D3C8E1" w:rsidR="009642D7" w:rsidRDefault="000F462D" w:rsidP="009642D7">
      <w:r w:rsidRPr="000F462D">
        <w:t>Traditional risk assessment is built on inputs with no canonical schema and no deterministic structure. Underwriters interpret these artefacts differently, producing inconsistent decisions and preventing automation. Because the inputs are subjective, the outputs can never be calibrated</w:t>
      </w:r>
      <w:r w:rsidR="009642D7">
        <w:t>.</w:t>
      </w:r>
    </w:p>
    <w:p w14:paraId="44C6E749" w14:textId="31983F04" w:rsidR="009642D7" w:rsidRDefault="009642D7" w:rsidP="009642D7">
      <w:r>
        <w:t xml:space="preserve">DSI replaces this with a deterministic assessment based entirely on observable </w:t>
      </w:r>
      <w:r>
        <w:t>digital signals</w:t>
      </w:r>
      <w:r>
        <w:t>.</w:t>
      </w:r>
    </w:p>
    <w:p w14:paraId="35BD402B" w14:textId="1F64578C" w:rsidR="009642D7" w:rsidRDefault="009642D7" w:rsidP="00EC7B69">
      <w:r>
        <w:t>Organisation</w:t>
      </w:r>
      <w:r w:rsidR="00EC7B69">
        <w:t>al signals</w:t>
      </w:r>
      <w:r>
        <w:t xml:space="preserve"> are assessed across the seven canonical categories</w:t>
      </w:r>
      <w:r w:rsidR="00EC7B69">
        <w:t xml:space="preserve">, </w:t>
      </w:r>
      <w:r>
        <w:t>weighted and aggregated into a Composite Risk Score</w:t>
      </w:r>
      <w:r w:rsidR="00EC7B69">
        <w:t xml:space="preserve">. This </w:t>
      </w:r>
      <w:r>
        <w:t>maps deterministically to a Risk Tier (</w:t>
      </w:r>
      <w:r w:rsidR="00EC7B69">
        <w:t xml:space="preserve">typically, </w:t>
      </w:r>
      <w:r>
        <w:t>1–5)</w:t>
      </w:r>
      <w:r w:rsidR="00EC7B69">
        <w:t xml:space="preserve"> which</w:t>
      </w:r>
      <w:r>
        <w:t xml:space="preserve"> carries predefined decision logic</w:t>
      </w:r>
      <w:r w:rsidR="00EC7B69">
        <w:t>. For example, Tier 1 | auto-approve.</w:t>
      </w:r>
    </w:p>
    <w:p w14:paraId="60A0316E" w14:textId="0FDEA2D9" w:rsidR="00EC7B69" w:rsidRDefault="00EC7B69" w:rsidP="00EC7B69">
      <w:r>
        <w:t xml:space="preserve">The </w:t>
      </w:r>
      <w:r>
        <w:t>Risk</w:t>
      </w:r>
      <w:r>
        <w:t xml:space="preserve"> Layer outputs </w:t>
      </w:r>
      <w:r>
        <w:t>six</w:t>
      </w:r>
      <w:r>
        <w:t xml:space="preserve"> independent, </w:t>
      </w:r>
      <w:r>
        <w:t>risk</w:t>
      </w:r>
      <w:r>
        <w:t xml:space="preserve"> focused dimensions:</w:t>
      </w:r>
    </w:p>
    <w:p w14:paraId="0553E41A" w14:textId="766653C8" w:rsidR="009642D7" w:rsidRDefault="009642D7" w:rsidP="00EC7B69">
      <w:pPr>
        <w:pStyle w:val="ListParagraph"/>
        <w:numPr>
          <w:ilvl w:val="0"/>
          <w:numId w:val="78"/>
        </w:numPr>
      </w:pPr>
      <w:r w:rsidRPr="00EC7B69">
        <w:rPr>
          <w:rFonts w:ascii="IBM Plex Sans SemiBold" w:hAnsi="IBM Plex Sans SemiBold"/>
        </w:rPr>
        <w:t>Composite Risk Score</w:t>
      </w:r>
      <w:r w:rsidR="00EC7B69" w:rsidRPr="00EC7B69">
        <w:rPr>
          <w:rFonts w:ascii="IBM Plex Sans SemiBold" w:hAnsi="IBM Plex Sans SemiBold"/>
        </w:rPr>
        <w:t>.</w:t>
      </w:r>
      <w:r w:rsidR="00EC7B69">
        <w:br/>
        <w:t>Weighted, aggregated score between 0-1000.</w:t>
      </w:r>
    </w:p>
    <w:p w14:paraId="1EDD03B9" w14:textId="4FE7F83A" w:rsidR="009642D7" w:rsidRDefault="009642D7" w:rsidP="00EC7B69">
      <w:pPr>
        <w:pStyle w:val="ListParagraph"/>
        <w:numPr>
          <w:ilvl w:val="0"/>
          <w:numId w:val="78"/>
        </w:numPr>
      </w:pPr>
      <w:r w:rsidRPr="00EC7B69">
        <w:rPr>
          <w:rFonts w:ascii="IBM Plex Sans SemiBold" w:hAnsi="IBM Plex Sans SemiBold"/>
        </w:rPr>
        <w:t>Risk Tier</w:t>
      </w:r>
      <w:r w:rsidR="00EC7B69" w:rsidRPr="00EC7B69">
        <w:rPr>
          <w:rFonts w:ascii="IBM Plex Sans SemiBold" w:hAnsi="IBM Plex Sans SemiBold"/>
        </w:rPr>
        <w:t>.</w:t>
      </w:r>
      <w:r w:rsidR="00EC7B69">
        <w:br/>
        <w:t xml:space="preserve">Configurable </w:t>
      </w:r>
      <w:r w:rsidR="00121D16">
        <w:t>categorisation, typically between 1-5.</w:t>
      </w:r>
    </w:p>
    <w:p w14:paraId="1DB095D5" w14:textId="7F517F32" w:rsidR="009642D7" w:rsidRDefault="009642D7" w:rsidP="00EC7B69">
      <w:pPr>
        <w:pStyle w:val="ListParagraph"/>
        <w:numPr>
          <w:ilvl w:val="0"/>
          <w:numId w:val="78"/>
        </w:numPr>
      </w:pPr>
      <w:r w:rsidRPr="00EC7B69">
        <w:rPr>
          <w:rFonts w:ascii="IBM Plex Sans SemiBold" w:hAnsi="IBM Plex Sans SemiBold"/>
        </w:rPr>
        <w:t>Confidence Score</w:t>
      </w:r>
      <w:r w:rsidR="00EC7B69" w:rsidRPr="00EC7B69">
        <w:rPr>
          <w:rFonts w:ascii="IBM Plex Sans SemiBold" w:hAnsi="IBM Plex Sans SemiBold"/>
        </w:rPr>
        <w:t>.</w:t>
      </w:r>
      <w:r w:rsidR="00EC7B69">
        <w:br/>
      </w:r>
      <w:r w:rsidR="00121D16" w:rsidRPr="00121D16">
        <w:t xml:space="preserve">Confidence </w:t>
      </w:r>
      <w:r w:rsidR="00121D16">
        <w:t xml:space="preserve">score between 0-1 </w:t>
      </w:r>
      <w:r w:rsidR="00121D16" w:rsidRPr="00121D16">
        <w:t>reflect</w:t>
      </w:r>
      <w:r w:rsidR="00121D16">
        <w:t>s</w:t>
      </w:r>
      <w:r w:rsidR="00121D16" w:rsidRPr="00121D16">
        <w:t xml:space="preserve"> data availability, source reliability, and signal freshness</w:t>
      </w:r>
      <w:r w:rsidR="00EC7B69">
        <w:t>.</w:t>
      </w:r>
    </w:p>
    <w:p w14:paraId="765F997B" w14:textId="6FD6639A" w:rsidR="009642D7" w:rsidRDefault="009642D7" w:rsidP="00EC7B69">
      <w:pPr>
        <w:pStyle w:val="ListParagraph"/>
        <w:numPr>
          <w:ilvl w:val="0"/>
          <w:numId w:val="78"/>
        </w:numPr>
      </w:pPr>
      <w:r w:rsidRPr="00EC7B69">
        <w:rPr>
          <w:rFonts w:ascii="IBM Plex Sans SemiBold" w:hAnsi="IBM Plex Sans SemiBold"/>
        </w:rPr>
        <w:t>Tier Overrides (if triggered)</w:t>
      </w:r>
      <w:r w:rsidR="00EC7B69" w:rsidRPr="00EC7B69">
        <w:rPr>
          <w:rFonts w:ascii="IBM Plex Sans SemiBold" w:hAnsi="IBM Plex Sans SemiBold"/>
        </w:rPr>
        <w:t>.</w:t>
      </w:r>
      <w:r w:rsidR="00EC7B69">
        <w:br/>
      </w:r>
      <w:r w:rsidR="000F462D" w:rsidRPr="000F462D">
        <w:t>Deterministic rules that adjust the assigned tier when specific signal conditions are met (e.g., regulatory sanctions, critical security failures, governance vacancies)</w:t>
      </w:r>
      <w:r w:rsidR="00EC7B69">
        <w:t>.</w:t>
      </w:r>
    </w:p>
    <w:p w14:paraId="4AE9791C" w14:textId="1AA1B363" w:rsidR="009642D7" w:rsidRDefault="009642D7" w:rsidP="00EC7B69">
      <w:pPr>
        <w:pStyle w:val="ListParagraph"/>
        <w:numPr>
          <w:ilvl w:val="0"/>
          <w:numId w:val="78"/>
        </w:numPr>
      </w:pPr>
      <w:r w:rsidRPr="00EC7B69">
        <w:rPr>
          <w:rFonts w:ascii="IBM Plex Sans SemiBold" w:hAnsi="IBM Plex Sans SemiBold"/>
        </w:rPr>
        <w:t>Referral Flags</w:t>
      </w:r>
      <w:r w:rsidR="00EC7B69" w:rsidRPr="00EC7B69">
        <w:rPr>
          <w:rFonts w:ascii="IBM Plex Sans SemiBold" w:hAnsi="IBM Plex Sans SemiBold"/>
        </w:rPr>
        <w:t>.</w:t>
      </w:r>
      <w:r w:rsidR="00EC7B69">
        <w:br/>
      </w:r>
      <w:r w:rsidR="000F462D" w:rsidRPr="000F462D">
        <w:t>Explicit indicators that the risk requires human review due to low confidence, conflicting signals, or triggered conditions</w:t>
      </w:r>
      <w:r w:rsidR="00EC7B69">
        <w:t>.</w:t>
      </w:r>
    </w:p>
    <w:p w14:paraId="6EF93E44" w14:textId="26A8170D" w:rsidR="009642D7" w:rsidRDefault="009642D7" w:rsidP="00EC7B69">
      <w:pPr>
        <w:pStyle w:val="ListParagraph"/>
        <w:numPr>
          <w:ilvl w:val="0"/>
          <w:numId w:val="78"/>
        </w:numPr>
      </w:pPr>
      <w:r w:rsidRPr="00EC7B69">
        <w:rPr>
          <w:rFonts w:ascii="IBM Plex Sans SemiBold" w:hAnsi="IBM Plex Sans SemiBold"/>
        </w:rPr>
        <w:lastRenderedPageBreak/>
        <w:t>Deterministic Modifiers</w:t>
      </w:r>
      <w:r w:rsidR="00EC7B69" w:rsidRPr="00EC7B69">
        <w:rPr>
          <w:rFonts w:ascii="IBM Plex Sans SemiBold" w:hAnsi="IBM Plex Sans SemiBold"/>
        </w:rPr>
        <w:t>.</w:t>
      </w:r>
      <w:r w:rsidR="00EC7B69">
        <w:br/>
      </w:r>
      <w:r w:rsidR="000F462D" w:rsidRPr="000F462D">
        <w:t>Pre‑defined, rule‑based adjustments applied after tier assignment (e.g., industry‑specific loadings, concentration adjustments). No subjective judgement is permitted</w:t>
      </w:r>
      <w:r w:rsidR="00EC7B69">
        <w:t>.</w:t>
      </w:r>
    </w:p>
    <w:p w14:paraId="58F44BC7" w14:textId="594F6A0E" w:rsidR="00464564" w:rsidRDefault="00464564" w:rsidP="00464564">
      <w:pPr>
        <w:pStyle w:val="Heading2"/>
      </w:pPr>
      <w:r>
        <w:t>Exposure</w:t>
      </w:r>
      <w:r w:rsidR="00384A70">
        <w:t xml:space="preserve"> Assessment</w:t>
      </w:r>
    </w:p>
    <w:p w14:paraId="34C22FE2" w14:textId="77777777" w:rsidR="00F7477F" w:rsidRDefault="00464564" w:rsidP="00464564">
      <w:r>
        <w:t>The</w:t>
      </w:r>
      <w:r w:rsidRPr="009B63F2">
        <w:t xml:space="preserve"> </w:t>
      </w:r>
      <w:r>
        <w:t xml:space="preserve">lack of </w:t>
      </w:r>
      <w:r w:rsidRPr="009B63F2">
        <w:t>canonical schema and deterministic structure</w:t>
      </w:r>
      <w:r>
        <w:t xml:space="preserve"> used for traditional exposure input prevents straight-through processing.  </w:t>
      </w:r>
    </w:p>
    <w:p w14:paraId="63B257FC" w14:textId="39216802" w:rsidR="00464564" w:rsidRDefault="00F7477F" w:rsidP="00464564">
      <w:r>
        <w:t xml:space="preserve">However, organisations leave measurable digital </w:t>
      </w:r>
      <w:r w:rsidR="00090B12">
        <w:t xml:space="preserve">signal </w:t>
      </w:r>
      <w:r>
        <w:t>traces of their scale:</w:t>
      </w:r>
      <w:r>
        <w:t xml:space="preserve"> </w:t>
      </w:r>
      <w:r>
        <w:t>the breadth of their digital footprint, the depth of their infrastructure, the number of locations implied by regulatory filings, the size of their partner and vendor networks, the complexity of their technology stack, and the geographic dispersion of their operations.</w:t>
      </w:r>
      <w:r w:rsidR="00E04C9A">
        <w:t xml:space="preserve"> </w:t>
      </w:r>
      <w:r w:rsidR="00464564">
        <w:t>These signals correlate strongly with exposure magnitude.</w:t>
      </w:r>
    </w:p>
    <w:p w14:paraId="3107F4D8" w14:textId="41264B95" w:rsidR="004A767F" w:rsidRDefault="00C21B28" w:rsidP="004A767F">
      <w:r>
        <w:t xml:space="preserve">Using the same </w:t>
      </w:r>
      <w:r w:rsidR="00464564">
        <w:t xml:space="preserve">underlying signal </w:t>
      </w:r>
      <w:r w:rsidR="00BE365E">
        <w:t>architecture</w:t>
      </w:r>
      <w:r>
        <w:t xml:space="preserve"> </w:t>
      </w:r>
      <w:r w:rsidR="004A767F">
        <w:t xml:space="preserve">DSI correlates </w:t>
      </w:r>
      <w:r w:rsidR="00E04C9A">
        <w:t xml:space="preserve">these </w:t>
      </w:r>
      <w:r w:rsidR="002313DA">
        <w:t>to</w:t>
      </w:r>
      <w:r w:rsidR="004A767F">
        <w:t xml:space="preserve"> exposure magnitude </w:t>
      </w:r>
      <w:r w:rsidR="002313DA">
        <w:t>using</w:t>
      </w:r>
      <w:r w:rsidR="004A767F">
        <w:t xml:space="preserve"> a tiered proxy hierarchy:</w:t>
      </w:r>
    </w:p>
    <w:tbl>
      <w:tblPr>
        <w:tblStyle w:val="TableGrid"/>
        <w:tblW w:w="9067" w:type="dxa"/>
        <w:tblLook w:val="04A0" w:firstRow="1" w:lastRow="0" w:firstColumn="1" w:lastColumn="0" w:noHBand="0" w:noVBand="1"/>
      </w:tblPr>
      <w:tblGrid>
        <w:gridCol w:w="564"/>
        <w:gridCol w:w="2550"/>
        <w:gridCol w:w="5953"/>
      </w:tblGrid>
      <w:tr w:rsidR="00202483" w14:paraId="3DFFE4D7" w14:textId="77777777" w:rsidTr="00202483">
        <w:trPr>
          <w:tblHeader/>
        </w:trPr>
        <w:tc>
          <w:tcPr>
            <w:tcW w:w="564" w:type="dxa"/>
            <w:shd w:val="clear" w:color="auto" w:fill="7A766F" w:themeFill="accent5"/>
          </w:tcPr>
          <w:p w14:paraId="686D906C" w14:textId="53FFBCB8" w:rsidR="00202483" w:rsidRDefault="00202483" w:rsidP="000A03F5">
            <w:pPr>
              <w:jc w:val="center"/>
              <w:rPr>
                <w:color w:val="FFFFFF" w:themeColor="background1"/>
              </w:rPr>
            </w:pPr>
            <w:r>
              <w:rPr>
                <w:color w:val="FFFFFF" w:themeColor="background1"/>
              </w:rPr>
              <w:t>Tier</w:t>
            </w:r>
          </w:p>
        </w:tc>
        <w:tc>
          <w:tcPr>
            <w:tcW w:w="2550" w:type="dxa"/>
            <w:shd w:val="clear" w:color="auto" w:fill="7A766F" w:themeFill="accent5"/>
          </w:tcPr>
          <w:p w14:paraId="5E461CA5" w14:textId="11D18B0A" w:rsidR="00202483" w:rsidRPr="0007440B" w:rsidRDefault="00202483" w:rsidP="000A03F5">
            <w:pPr>
              <w:jc w:val="center"/>
              <w:rPr>
                <w:color w:val="FFFFFF" w:themeColor="background1"/>
              </w:rPr>
            </w:pPr>
            <w:r>
              <w:rPr>
                <w:color w:val="FFFFFF" w:themeColor="background1"/>
              </w:rPr>
              <w:t>Category</w:t>
            </w:r>
          </w:p>
        </w:tc>
        <w:tc>
          <w:tcPr>
            <w:tcW w:w="5953" w:type="dxa"/>
            <w:shd w:val="clear" w:color="auto" w:fill="7A766F" w:themeFill="accent5"/>
          </w:tcPr>
          <w:p w14:paraId="36F3B1FC" w14:textId="75C9FFA6" w:rsidR="00202483" w:rsidRPr="0007440B" w:rsidRDefault="00202483" w:rsidP="000A03F5">
            <w:pPr>
              <w:jc w:val="center"/>
              <w:rPr>
                <w:color w:val="FFFFFF" w:themeColor="background1"/>
              </w:rPr>
            </w:pPr>
            <w:r>
              <w:rPr>
                <w:color w:val="FFFFFF" w:themeColor="background1"/>
              </w:rPr>
              <w:t>Detail</w:t>
            </w:r>
          </w:p>
        </w:tc>
      </w:tr>
      <w:tr w:rsidR="00202483" w14:paraId="10F23D38" w14:textId="77777777" w:rsidTr="00202483">
        <w:tc>
          <w:tcPr>
            <w:tcW w:w="564" w:type="dxa"/>
          </w:tcPr>
          <w:p w14:paraId="62B0BA55" w14:textId="163C7145" w:rsidR="00202483" w:rsidRPr="005019B1" w:rsidRDefault="00202483" w:rsidP="000A03F5">
            <w:r>
              <w:t>1</w:t>
            </w:r>
          </w:p>
        </w:tc>
        <w:tc>
          <w:tcPr>
            <w:tcW w:w="2550" w:type="dxa"/>
          </w:tcPr>
          <w:p w14:paraId="1CFAF336" w14:textId="6640E57C" w:rsidR="00202483" w:rsidRDefault="00202483" w:rsidP="000A03F5">
            <w:r w:rsidRPr="005019B1">
              <w:t>Direct Observables</w:t>
            </w:r>
          </w:p>
        </w:tc>
        <w:tc>
          <w:tcPr>
            <w:tcW w:w="5953" w:type="dxa"/>
          </w:tcPr>
          <w:p w14:paraId="5AD3F887" w14:textId="67F94479" w:rsidR="00202483" w:rsidRDefault="00202483" w:rsidP="005019B1">
            <w:r w:rsidRPr="005019B1">
              <w:t>Market capitalisation, regulated asset disclosures, public financial filings. These provide the highest confidence estimates</w:t>
            </w:r>
          </w:p>
        </w:tc>
      </w:tr>
      <w:tr w:rsidR="00202483" w14:paraId="485147A6" w14:textId="77777777" w:rsidTr="00071077">
        <w:tc>
          <w:tcPr>
            <w:tcW w:w="564" w:type="dxa"/>
            <w:shd w:val="clear" w:color="auto" w:fill="E8E3DA" w:themeFill="background2"/>
          </w:tcPr>
          <w:p w14:paraId="1C842548" w14:textId="27D22901" w:rsidR="00202483" w:rsidRPr="005019B1" w:rsidRDefault="00202483" w:rsidP="000A03F5">
            <w:r>
              <w:t>2</w:t>
            </w:r>
          </w:p>
        </w:tc>
        <w:tc>
          <w:tcPr>
            <w:tcW w:w="2550" w:type="dxa"/>
            <w:shd w:val="clear" w:color="auto" w:fill="E8E3DA" w:themeFill="background2"/>
          </w:tcPr>
          <w:p w14:paraId="38234F95" w14:textId="38DD4A9C" w:rsidR="00202483" w:rsidRDefault="00202483" w:rsidP="000A03F5">
            <w:r w:rsidRPr="005019B1">
              <w:t>High-Confidence Proxies</w:t>
            </w:r>
          </w:p>
        </w:tc>
        <w:tc>
          <w:tcPr>
            <w:tcW w:w="5953" w:type="dxa"/>
            <w:shd w:val="clear" w:color="auto" w:fill="E8E3DA" w:themeFill="background2"/>
          </w:tcPr>
          <w:p w14:paraId="433AF838" w14:textId="588DC796" w:rsidR="00202483" w:rsidRDefault="00202483" w:rsidP="005019B1">
            <w:r w:rsidRPr="005019B1">
              <w:t>Employee count, office locations, regulatory jurisdiction count. Strong correlation with exposure, widely available</w:t>
            </w:r>
          </w:p>
        </w:tc>
      </w:tr>
      <w:tr w:rsidR="00202483" w14:paraId="23E83E5B" w14:textId="77777777" w:rsidTr="00202483">
        <w:tc>
          <w:tcPr>
            <w:tcW w:w="564" w:type="dxa"/>
          </w:tcPr>
          <w:p w14:paraId="29A6A7FF" w14:textId="447BC309" w:rsidR="00202483" w:rsidRPr="005019B1" w:rsidRDefault="00202483" w:rsidP="000A03F5">
            <w:r>
              <w:t>3</w:t>
            </w:r>
          </w:p>
        </w:tc>
        <w:tc>
          <w:tcPr>
            <w:tcW w:w="2550" w:type="dxa"/>
          </w:tcPr>
          <w:p w14:paraId="713673D5" w14:textId="28F71328" w:rsidR="00202483" w:rsidRDefault="00202483" w:rsidP="000A03F5">
            <w:r w:rsidRPr="005019B1">
              <w:t>Inferred Signals</w:t>
            </w:r>
          </w:p>
        </w:tc>
        <w:tc>
          <w:tcPr>
            <w:tcW w:w="5953" w:type="dxa"/>
          </w:tcPr>
          <w:p w14:paraId="0800DB43" w14:textId="4F642C4D" w:rsidR="00202483" w:rsidRDefault="00202483" w:rsidP="005019B1">
            <w:r w:rsidRPr="005019B1">
              <w:t>Subdomain complexity, technology stack depth, web traffic estimates. Lower confidence but high availability</w:t>
            </w:r>
          </w:p>
        </w:tc>
      </w:tr>
    </w:tbl>
    <w:p w14:paraId="77D91D49" w14:textId="37F01454" w:rsidR="001E54C9" w:rsidRDefault="00202483" w:rsidP="001E54C9">
      <w:r>
        <w:br/>
      </w:r>
      <w:r w:rsidR="00550CE1">
        <w:t>The Exp</w:t>
      </w:r>
      <w:r w:rsidR="009A3E8F">
        <w:t>osure Shadow Layer outputs</w:t>
      </w:r>
      <w:r w:rsidR="00AB0964">
        <w:t xml:space="preserve"> </w:t>
      </w:r>
      <w:r w:rsidR="001E54C9">
        <w:t>two independent</w:t>
      </w:r>
      <w:r w:rsidR="00CD5892">
        <w:t xml:space="preserve">, exposure focused </w:t>
      </w:r>
      <w:r w:rsidR="009A3E8F">
        <w:t>dimensions</w:t>
      </w:r>
      <w:r w:rsidR="001E54C9">
        <w:t>:</w:t>
      </w:r>
    </w:p>
    <w:p w14:paraId="5F457779" w14:textId="77777777" w:rsidR="001E54C9" w:rsidRDefault="001E54C9" w:rsidP="001E54C9">
      <w:pPr>
        <w:pStyle w:val="ListParagraph"/>
        <w:numPr>
          <w:ilvl w:val="0"/>
          <w:numId w:val="70"/>
        </w:numPr>
      </w:pPr>
      <w:r w:rsidRPr="00065E23">
        <w:rPr>
          <w:rFonts w:ascii="IBM Plex Sans SemiBold" w:hAnsi="IBM Plex Sans SemiBold"/>
        </w:rPr>
        <w:t>Exposure Band.</w:t>
      </w:r>
      <w:r w:rsidRPr="00065E23">
        <w:rPr>
          <w:rFonts w:ascii="IBM Plex Sans SemiBold" w:hAnsi="IBM Plex Sans SemiBold"/>
        </w:rPr>
        <w:br/>
      </w:r>
      <w:r>
        <w:t>Classification of exposure magnitude.</w:t>
      </w:r>
    </w:p>
    <w:p w14:paraId="48B6BAA9" w14:textId="2A619AA3" w:rsidR="001E54C9" w:rsidRDefault="001E54C9" w:rsidP="004A767F">
      <w:pPr>
        <w:pStyle w:val="ListParagraph"/>
        <w:numPr>
          <w:ilvl w:val="0"/>
          <w:numId w:val="70"/>
        </w:numPr>
      </w:pPr>
      <w:r w:rsidRPr="00065E23">
        <w:rPr>
          <w:rFonts w:ascii="IBM Plex Sans SemiBold" w:hAnsi="IBM Plex Sans SemiBold"/>
        </w:rPr>
        <w:t xml:space="preserve">Complexity Category. </w:t>
      </w:r>
      <w:r w:rsidRPr="00065E23">
        <w:rPr>
          <w:rFonts w:ascii="IBM Plex Sans SemiBold" w:hAnsi="IBM Plex Sans SemiBold"/>
        </w:rPr>
        <w:br/>
      </w:r>
      <w:r>
        <w:t>Assessment of exposure structure complexity based on geographic dispersion, subsidiary count, technology heterogeneity, and regulatory footprint.</w:t>
      </w:r>
    </w:p>
    <w:p w14:paraId="2A7AB682" w14:textId="1F2F37A4" w:rsidR="001B3C09" w:rsidRDefault="004A767F" w:rsidP="00464564">
      <w:r>
        <w:t xml:space="preserve">Critically, </w:t>
      </w:r>
      <w:r>
        <w:t>DSI</w:t>
      </w:r>
      <w:r>
        <w:t xml:space="preserve"> outputs ranges with confidence rather than false-precision point estimates. </w:t>
      </w:r>
      <w:r w:rsidR="00AB0964">
        <w:t>For example, a</w:t>
      </w:r>
      <w:r>
        <w:t xml:space="preserve"> typical output might read: "Estimated TIV: $75M-$180M at 78% confidence, placing this risk in the LARGE exposure band." This honest uncertainty enables automated decisioning while flagging cases requiring verification.</w:t>
      </w:r>
    </w:p>
    <w:p w14:paraId="00FB755F" w14:textId="194F4391" w:rsidR="00464564" w:rsidRDefault="00464564" w:rsidP="00464564">
      <w:pPr>
        <w:pStyle w:val="Heading2"/>
      </w:pPr>
      <w:r>
        <w:t>Loss</w:t>
      </w:r>
      <w:r w:rsidR="00384A70">
        <w:t xml:space="preserve"> Assessment</w:t>
      </w:r>
    </w:p>
    <w:p w14:paraId="3B1D2BD4" w14:textId="6AB752D3" w:rsidR="001A21C4" w:rsidRDefault="001A21C4" w:rsidP="001A21C4">
      <w:r>
        <w:t>Traditional loss analysis faces an insurmountable data problem. Loss events are episodic: 80-90% of policies have zero claims in any year. With sparse outcomes and minimal features</w:t>
      </w:r>
      <w:r>
        <w:t xml:space="preserve">, </w:t>
      </w:r>
      <w:r>
        <w:t>industry code, size, geography</w:t>
      </w:r>
      <w:r>
        <w:t xml:space="preserve">, </w:t>
      </w:r>
      <w:r>
        <w:t xml:space="preserve">causal attribution is nearly impossible. </w:t>
      </w:r>
      <w:r w:rsidR="00525A70">
        <w:t xml:space="preserve">For </w:t>
      </w:r>
      <w:r w:rsidR="003427C6">
        <w:t>example, two</w:t>
      </w:r>
      <w:r>
        <w:t xml:space="preserve"> bank</w:t>
      </w:r>
      <w:r w:rsidR="003427C6">
        <w:t>s</w:t>
      </w:r>
      <w:r>
        <w:t xml:space="preserve"> with $10 billion in assets can have radically different loss profiles based on factors invisible to traditional underwriting. When losses occur, the available features are insufficient to explain why. When losses don't occur, there's no data to learn from. This fundamental constraint </w:t>
      </w:r>
      <w:r w:rsidR="001C6F7D">
        <w:t>ensures that the gap between loss-data and technical pricing remains absolute.</w:t>
      </w:r>
    </w:p>
    <w:p w14:paraId="41596882" w14:textId="0F641ADA" w:rsidR="001A21C4" w:rsidRDefault="001A21C4" w:rsidP="001A21C4">
      <w:r>
        <w:t>DSI inverts this limitation</w:t>
      </w:r>
      <w:r w:rsidR="009B3667">
        <w:t xml:space="preserve"> inferring loss propensity </w:t>
      </w:r>
      <w:r w:rsidR="001C6F7D" w:rsidRPr="001C6F7D">
        <w:t xml:space="preserve">from the same observable signals </w:t>
      </w:r>
      <w:r w:rsidR="001C6F7D">
        <w:t>used to assess risk and exposure</w:t>
      </w:r>
      <w:r w:rsidR="001C6F7D" w:rsidRPr="001C6F7D">
        <w:t>.</w:t>
      </w:r>
      <w:r w:rsidR="009B3667">
        <w:t xml:space="preserve"> </w:t>
      </w:r>
      <w:r>
        <w:t>More importantly, these signals are leading indicators: they deteriorate before losses occur.</w:t>
      </w:r>
      <w:r w:rsidR="001C6F7D">
        <w:t xml:space="preserve"> </w:t>
      </w:r>
    </w:p>
    <w:p w14:paraId="1BD7D38B" w14:textId="77777777" w:rsidR="006938EF" w:rsidRDefault="006938EF" w:rsidP="006938EF">
      <w:r>
        <w:lastRenderedPageBreak/>
        <w:t>Loss events are preceded by measurable behavioural and structural patterns. DSI captures these patterns through signals that describe operational discipline, governance stability, security posture, regulatory engagement, partner and vendor quality, digital footprint vitality, and organisational change velocity.</w:t>
      </w:r>
    </w:p>
    <w:p w14:paraId="41DB30C5" w14:textId="77777777" w:rsidR="006938EF" w:rsidRDefault="006938EF" w:rsidP="006938EF">
      <w:r>
        <w:t>The causal mechanism is straightforward:</w:t>
      </w:r>
    </w:p>
    <w:p w14:paraId="10EAD507" w14:textId="61FC2A39" w:rsidR="006938EF" w:rsidRDefault="006938EF" w:rsidP="006938EF">
      <w:pPr>
        <w:pStyle w:val="ListParagraph"/>
        <w:numPr>
          <w:ilvl w:val="0"/>
          <w:numId w:val="74"/>
        </w:numPr>
      </w:pPr>
      <w:r>
        <w:t>Weakening security posture (outdated TLS, unpatched systems) precedes cyber breaches.</w:t>
      </w:r>
    </w:p>
    <w:p w14:paraId="1BFB30C2" w14:textId="75A15EDC" w:rsidR="006938EF" w:rsidRDefault="006938EF" w:rsidP="006938EF">
      <w:pPr>
        <w:pStyle w:val="ListParagraph"/>
        <w:numPr>
          <w:ilvl w:val="0"/>
          <w:numId w:val="74"/>
        </w:numPr>
      </w:pPr>
      <w:r>
        <w:t>Declining governance transparency (reduced board disclosures, leadership turnover) precedes D&amp;O actions.</w:t>
      </w:r>
    </w:p>
    <w:p w14:paraId="0E8A3355" w14:textId="135005E6" w:rsidR="006938EF" w:rsidRDefault="006938EF" w:rsidP="006938EF">
      <w:pPr>
        <w:pStyle w:val="ListParagraph"/>
        <w:numPr>
          <w:ilvl w:val="0"/>
          <w:numId w:val="74"/>
        </w:numPr>
      </w:pPr>
      <w:r>
        <w:t>Regulatory friction (enforcement letters, compliance citations) precedes enforcement actions.</w:t>
      </w:r>
    </w:p>
    <w:p w14:paraId="66E007D6" w14:textId="32E41E4A" w:rsidR="006938EF" w:rsidRDefault="006938EF" w:rsidP="006938EF">
      <w:pPr>
        <w:pStyle w:val="ListParagraph"/>
        <w:numPr>
          <w:ilvl w:val="0"/>
          <w:numId w:val="74"/>
        </w:numPr>
      </w:pPr>
      <w:r>
        <w:t>Management instability (C-suite departures, rapid hiring, organisational restructuring) precedes operational failures.</w:t>
      </w:r>
    </w:p>
    <w:p w14:paraId="74CC60CE" w14:textId="35D72A7D" w:rsidR="00DB5D6F" w:rsidRDefault="006938EF" w:rsidP="00B015EA">
      <w:r>
        <w:t>These patterns are detectable because DSI observes behaviour continuously, not just at bind. The traditional insurer learns about risk quality at claim time. DSI enables learning before the loss occurs</w:t>
      </w:r>
      <w:r w:rsidR="00B015EA">
        <w:t xml:space="preserve"> and can trigger proactive risk management engagement, renewal repricing, or non-renewal decisions before a loss occurs.</w:t>
      </w:r>
    </w:p>
    <w:p w14:paraId="76311CFF" w14:textId="743F7B8B" w:rsidR="00550CE1" w:rsidRDefault="009A3E8F" w:rsidP="00550CE1">
      <w:r>
        <w:t xml:space="preserve">The </w:t>
      </w:r>
      <w:r>
        <w:t xml:space="preserve">Loss Correlation </w:t>
      </w:r>
      <w:r>
        <w:t xml:space="preserve">Layer outputs </w:t>
      </w:r>
      <w:r>
        <w:t>four</w:t>
      </w:r>
      <w:r>
        <w:t xml:space="preserve"> independent, </w:t>
      </w:r>
      <w:r>
        <w:t xml:space="preserve">loss </w:t>
      </w:r>
      <w:r>
        <w:t>focused dimensions:</w:t>
      </w:r>
    </w:p>
    <w:p w14:paraId="553266E2" w14:textId="1892B847" w:rsidR="00550CE1" w:rsidRDefault="00550CE1" w:rsidP="009A3E8F">
      <w:pPr>
        <w:pStyle w:val="ListParagraph"/>
        <w:numPr>
          <w:ilvl w:val="0"/>
          <w:numId w:val="75"/>
        </w:numPr>
      </w:pPr>
      <w:r w:rsidRPr="009A3E8F">
        <w:rPr>
          <w:rFonts w:ascii="IBM Plex Sans SemiBold" w:hAnsi="IBM Plex Sans SemiBold"/>
        </w:rPr>
        <w:t>Loss Propensity Score (0-100)</w:t>
      </w:r>
      <w:r w:rsidR="009A3E8F" w:rsidRPr="009A3E8F">
        <w:rPr>
          <w:rFonts w:ascii="IBM Plex Sans SemiBold" w:hAnsi="IBM Plex Sans SemiBold"/>
        </w:rPr>
        <w:t>.</w:t>
      </w:r>
      <w:r w:rsidR="009A3E8F">
        <w:br/>
      </w:r>
      <w:r>
        <w:t>Likelihood of loss frequency based on signal patterns.</w:t>
      </w:r>
    </w:p>
    <w:p w14:paraId="09A1DCDF" w14:textId="23586C6E" w:rsidR="00550CE1" w:rsidRDefault="00550CE1" w:rsidP="009A3E8F">
      <w:pPr>
        <w:pStyle w:val="ListParagraph"/>
        <w:numPr>
          <w:ilvl w:val="0"/>
          <w:numId w:val="75"/>
        </w:numPr>
      </w:pPr>
      <w:r w:rsidRPr="009A3E8F">
        <w:rPr>
          <w:rFonts w:ascii="IBM Plex Sans SemiBold" w:hAnsi="IBM Plex Sans SemiBold"/>
        </w:rPr>
        <w:t>Severity Propensity Score (0-100)</w:t>
      </w:r>
      <w:r w:rsidR="009A3E8F" w:rsidRPr="009A3E8F">
        <w:rPr>
          <w:rFonts w:ascii="IBM Plex Sans SemiBold" w:hAnsi="IBM Plex Sans SemiBold"/>
        </w:rPr>
        <w:t>.</w:t>
      </w:r>
      <w:r w:rsidR="009A3E8F" w:rsidRPr="009A3E8F">
        <w:rPr>
          <w:rFonts w:ascii="IBM Plex Sans SemiBold" w:hAnsi="IBM Plex Sans SemiBold"/>
        </w:rPr>
        <w:br/>
      </w:r>
      <w:r>
        <w:t>Likelihood of higher-severity outcomes.</w:t>
      </w:r>
    </w:p>
    <w:p w14:paraId="21A318A7" w14:textId="52799809" w:rsidR="00550CE1" w:rsidRDefault="00550CE1" w:rsidP="009A3E8F">
      <w:pPr>
        <w:pStyle w:val="ListParagraph"/>
        <w:numPr>
          <w:ilvl w:val="0"/>
          <w:numId w:val="75"/>
        </w:numPr>
      </w:pPr>
      <w:r w:rsidRPr="009A3E8F">
        <w:rPr>
          <w:rFonts w:ascii="IBM Plex Sans SemiBold" w:hAnsi="IBM Plex Sans SemiBold"/>
        </w:rPr>
        <w:t xml:space="preserve">Loss </w:t>
      </w:r>
      <w:r w:rsidR="009642D7">
        <w:rPr>
          <w:rFonts w:ascii="IBM Plex Sans SemiBold" w:hAnsi="IBM Plex Sans SemiBold"/>
        </w:rPr>
        <w:t>Trend</w:t>
      </w:r>
      <w:r w:rsidRPr="009A3E8F">
        <w:rPr>
          <w:rFonts w:ascii="IBM Plex Sans SemiBold" w:hAnsi="IBM Plex Sans SemiBold"/>
        </w:rPr>
        <w:t xml:space="preserve"> Band</w:t>
      </w:r>
      <w:r w:rsidR="009A3E8F" w:rsidRPr="009A3E8F">
        <w:rPr>
          <w:rFonts w:ascii="IBM Plex Sans SemiBold" w:hAnsi="IBM Plex Sans SemiBold"/>
        </w:rPr>
        <w:t>.</w:t>
      </w:r>
      <w:r w:rsidR="009A3E8F">
        <w:br/>
      </w:r>
      <w:r w:rsidR="00C550E1">
        <w:t>Trend c</w:t>
      </w:r>
      <w:r>
        <w:t>lassification</w:t>
      </w:r>
      <w:r w:rsidR="00C550E1">
        <w:t xml:space="preserve"> of propensity over time</w:t>
      </w:r>
      <w:r>
        <w:t xml:space="preserve"> from very low to high.</w:t>
      </w:r>
    </w:p>
    <w:p w14:paraId="035E8322" w14:textId="7663CCFE" w:rsidR="00550CE1" w:rsidRDefault="00550CE1" w:rsidP="009A3E8F">
      <w:pPr>
        <w:pStyle w:val="ListParagraph"/>
        <w:numPr>
          <w:ilvl w:val="0"/>
          <w:numId w:val="75"/>
        </w:numPr>
      </w:pPr>
      <w:r w:rsidRPr="009A3E8F">
        <w:rPr>
          <w:rFonts w:ascii="IBM Plex Sans SemiBold" w:hAnsi="IBM Plex Sans SemiBold"/>
        </w:rPr>
        <w:t>Cohort Assignment</w:t>
      </w:r>
      <w:r w:rsidR="009A3E8F" w:rsidRPr="009A3E8F">
        <w:rPr>
          <w:rFonts w:ascii="IBM Plex Sans SemiBold" w:hAnsi="IBM Plex Sans SemiBold"/>
        </w:rPr>
        <w:t>.</w:t>
      </w:r>
      <w:r w:rsidR="009A3E8F" w:rsidRPr="009A3E8F">
        <w:rPr>
          <w:rFonts w:ascii="IBM Plex Sans SemiBold" w:hAnsi="IBM Plex Sans SemiBold"/>
        </w:rPr>
        <w:br/>
      </w:r>
      <w:r>
        <w:t>Signal-derived peer groups that share loss characteristics.</w:t>
      </w:r>
      <w:r w:rsidR="00AD7342">
        <w:br/>
      </w:r>
      <w:r w:rsidR="00AD7342" w:rsidRPr="00AD7342">
        <w:t>Cohort</w:t>
      </w:r>
      <w:r w:rsidR="00AD7342">
        <w:t xml:space="preserve">s </w:t>
      </w:r>
      <w:r w:rsidR="00AD7342" w:rsidRPr="00AD7342">
        <w:t>enable several capabilities: peer comparison for outlier detection, cohort-level loss expectancy for pricing, and migration tracking as entities move between cohorts over time.</w:t>
      </w:r>
    </w:p>
    <w:p w14:paraId="5F71806D" w14:textId="2A8152CC" w:rsidR="00744AD2" w:rsidRDefault="00464564" w:rsidP="00464564">
      <w:pPr>
        <w:pStyle w:val="Heading1"/>
      </w:pPr>
      <w:r>
        <w:t>Worked Example</w:t>
      </w:r>
    </w:p>
    <w:p w14:paraId="7A1157F0" w14:textId="44BFB206" w:rsidR="00E11D6D" w:rsidRDefault="00E11D6D" w:rsidP="00E11D6D">
      <w:r w:rsidRPr="00E11D6D">
        <w:t>The following example demonstrates DSI's end-to-end assessment of a mid-market technology company seeking cyber coverage.</w:t>
      </w:r>
    </w:p>
    <w:p w14:paraId="6E3F4A9F" w14:textId="4252CBAF" w:rsidR="00895309" w:rsidRPr="00895309" w:rsidRDefault="00895309" w:rsidP="00E11D6D">
      <w:pPr>
        <w:rPr>
          <w:rFonts w:ascii="IBM Plex Sans SemiBold" w:hAnsi="IBM Plex Sans SemiBold"/>
        </w:rPr>
      </w:pPr>
      <w:r w:rsidRPr="00895309">
        <w:rPr>
          <w:rFonts w:ascii="IBM Plex Sans SemiBold" w:hAnsi="IBM Plex Sans SemiBold"/>
        </w:rPr>
        <w:t>Input</w:t>
      </w:r>
    </w:p>
    <w:p w14:paraId="6BFE49D1" w14:textId="5FD96521" w:rsidR="00895309" w:rsidRDefault="00895309" w:rsidP="00895309">
      <w:pPr>
        <w:pStyle w:val="ListParagraph"/>
        <w:numPr>
          <w:ilvl w:val="0"/>
          <w:numId w:val="76"/>
        </w:numPr>
      </w:pPr>
      <w:r w:rsidRPr="00895309">
        <w:t>Submission: "TechFlow Solutions" with domain hint techflow.io</w:t>
      </w:r>
    </w:p>
    <w:p w14:paraId="5484B98D" w14:textId="77777777" w:rsidR="00931748" w:rsidRDefault="00931748" w:rsidP="00931748">
      <w:r w:rsidRPr="007A5962">
        <w:rPr>
          <w:rFonts w:ascii="IBM Plex Sans SemiBold" w:hAnsi="IBM Plex Sans SemiBold"/>
        </w:rPr>
        <w:t>Phase A – Discovery (Step 0)</w:t>
      </w:r>
    </w:p>
    <w:p w14:paraId="6DFEBC2B" w14:textId="3D496A04" w:rsidR="00891549" w:rsidRDefault="00891549" w:rsidP="00931748">
      <w:pPr>
        <w:pStyle w:val="ListParagraph"/>
        <w:numPr>
          <w:ilvl w:val="0"/>
          <w:numId w:val="53"/>
        </w:numPr>
      </w:pPr>
      <w:r w:rsidRPr="00891549">
        <w:t>DSI validates techflow.io as the corporate website (95% confidence) and identifies TechFlow Solutions Inc. as the legal entity through corporate registry matching.</w:t>
      </w:r>
    </w:p>
    <w:p w14:paraId="265EA180" w14:textId="3630D058" w:rsidR="00931748" w:rsidRDefault="00931748" w:rsidP="00931748">
      <w:pPr>
        <w:rPr>
          <w:rFonts w:ascii="IBM Plex Sans SemiBold" w:hAnsi="IBM Plex Sans SemiBold"/>
        </w:rPr>
      </w:pPr>
      <w:r>
        <w:rPr>
          <w:rFonts w:ascii="IBM Plex Sans SemiBold" w:hAnsi="IBM Plex Sans SemiBold"/>
        </w:rPr>
        <w:t>Phase B – Model I</w:t>
      </w:r>
      <w:r w:rsidRPr="00CE65B4">
        <w:rPr>
          <w:rFonts w:ascii="IBM Plex Sans SemiBold" w:hAnsi="IBM Plex Sans SemiBold"/>
        </w:rPr>
        <w:t>nstantiation</w:t>
      </w:r>
      <w:r>
        <w:rPr>
          <w:rFonts w:ascii="IBM Plex Sans SemiBold" w:hAnsi="IBM Plex Sans SemiBold"/>
        </w:rPr>
        <w:t xml:space="preserve"> (Step 1)</w:t>
      </w:r>
    </w:p>
    <w:p w14:paraId="3A64E0C9" w14:textId="68648021" w:rsidR="00931748" w:rsidRPr="00CE65B4" w:rsidRDefault="0070692F" w:rsidP="000F64B5">
      <w:pPr>
        <w:pStyle w:val="ListParagraph"/>
        <w:numPr>
          <w:ilvl w:val="0"/>
          <w:numId w:val="73"/>
        </w:numPr>
      </w:pPr>
      <w:r>
        <w:t>Mode</w:t>
      </w:r>
      <w:r w:rsidR="000F64B5">
        <w:t>l</w:t>
      </w:r>
      <w:r>
        <w:t xml:space="preserve"> version created, inputs verified against minimum viable re</w:t>
      </w:r>
      <w:r w:rsidR="000F64B5">
        <w:t>quirements.</w:t>
      </w:r>
    </w:p>
    <w:p w14:paraId="4B105DA7" w14:textId="77777777" w:rsidR="00931748" w:rsidRDefault="00931748" w:rsidP="00931748">
      <w:pPr>
        <w:rPr>
          <w:rFonts w:ascii="IBM Plex Sans SemiBold" w:hAnsi="IBM Plex Sans SemiBold"/>
        </w:rPr>
      </w:pPr>
      <w:r w:rsidRPr="007A5962">
        <w:rPr>
          <w:rFonts w:ascii="IBM Plex Sans SemiBold" w:hAnsi="IBM Plex Sans SemiBold"/>
        </w:rPr>
        <w:t xml:space="preserve">Phase </w:t>
      </w:r>
      <w:r>
        <w:rPr>
          <w:rFonts w:ascii="IBM Plex Sans SemiBold" w:hAnsi="IBM Plex Sans SemiBold"/>
        </w:rPr>
        <w:t>C</w:t>
      </w:r>
      <w:r w:rsidRPr="007A5962">
        <w:rPr>
          <w:rFonts w:ascii="IBM Plex Sans SemiBold" w:hAnsi="IBM Plex Sans SemiBold"/>
        </w:rPr>
        <w:t xml:space="preserve"> – Signal</w:t>
      </w:r>
      <w:r>
        <w:rPr>
          <w:rFonts w:ascii="IBM Plex Sans SemiBold" w:hAnsi="IBM Plex Sans SemiBold"/>
        </w:rPr>
        <w:t xml:space="preserve">s </w:t>
      </w:r>
      <w:r w:rsidRPr="007A5962">
        <w:rPr>
          <w:rFonts w:ascii="IBM Plex Sans SemiBold" w:hAnsi="IBM Plex Sans SemiBold"/>
        </w:rPr>
        <w:t xml:space="preserve">(Steps </w:t>
      </w:r>
      <w:r>
        <w:rPr>
          <w:rFonts w:ascii="IBM Plex Sans SemiBold" w:hAnsi="IBM Plex Sans SemiBold"/>
        </w:rPr>
        <w:t>2</w:t>
      </w:r>
      <w:r w:rsidRPr="007A5962">
        <w:rPr>
          <w:rFonts w:ascii="IBM Plex Sans SemiBold" w:hAnsi="IBM Plex Sans SemiBold"/>
        </w:rPr>
        <w:t>–4)</w:t>
      </w:r>
    </w:p>
    <w:p w14:paraId="06F108A1" w14:textId="43E1AF1F" w:rsidR="000E1AD5" w:rsidRDefault="000E1AD5" w:rsidP="000E1AD5">
      <w:pPr>
        <w:pStyle w:val="ListParagraph"/>
        <w:numPr>
          <w:ilvl w:val="0"/>
          <w:numId w:val="54"/>
        </w:numPr>
      </w:pPr>
      <w:r>
        <w:t>Parallel extraction across 35 cyber-specific signals</w:t>
      </w:r>
      <w:r>
        <w:t>.</w:t>
      </w:r>
    </w:p>
    <w:p w14:paraId="7352E4DF" w14:textId="77777777" w:rsidR="00931748" w:rsidRDefault="00931748" w:rsidP="00931748">
      <w:pPr>
        <w:rPr>
          <w:rFonts w:ascii="IBM Plex Sans SemiBold" w:hAnsi="IBM Plex Sans SemiBold"/>
        </w:rPr>
      </w:pPr>
      <w:r w:rsidRPr="007A5962">
        <w:rPr>
          <w:rFonts w:ascii="IBM Plex Sans SemiBold" w:hAnsi="IBM Plex Sans SemiBold"/>
        </w:rPr>
        <w:t xml:space="preserve">Phase </w:t>
      </w:r>
      <w:r>
        <w:rPr>
          <w:rFonts w:ascii="IBM Plex Sans SemiBold" w:hAnsi="IBM Plex Sans SemiBold"/>
        </w:rPr>
        <w:t>D</w:t>
      </w:r>
      <w:r w:rsidRPr="007A5962">
        <w:rPr>
          <w:rFonts w:ascii="IBM Plex Sans SemiBold" w:hAnsi="IBM Plex Sans SemiBold"/>
        </w:rPr>
        <w:t xml:space="preserve"> – </w:t>
      </w:r>
      <w:r>
        <w:rPr>
          <w:rFonts w:ascii="IBM Plex Sans SemiBold" w:hAnsi="IBM Plex Sans SemiBold"/>
        </w:rPr>
        <w:t>Three Layer Assessment</w:t>
      </w:r>
      <w:r w:rsidRPr="007A5962">
        <w:rPr>
          <w:rFonts w:ascii="IBM Plex Sans SemiBold" w:hAnsi="IBM Plex Sans SemiBold"/>
        </w:rPr>
        <w:t xml:space="preserve"> (Steps 5–</w:t>
      </w:r>
      <w:r>
        <w:rPr>
          <w:rFonts w:ascii="IBM Plex Sans SemiBold" w:hAnsi="IBM Plex Sans SemiBold"/>
        </w:rPr>
        <w:t>7</w:t>
      </w:r>
      <w:r w:rsidRPr="007A5962">
        <w:rPr>
          <w:rFonts w:ascii="IBM Plex Sans SemiBold" w:hAnsi="IBM Plex Sans SemiBold"/>
        </w:rPr>
        <w:t>)</w:t>
      </w:r>
    </w:p>
    <w:p w14:paraId="3EE3DF8F" w14:textId="77777777" w:rsidR="00150D48" w:rsidRDefault="00931748" w:rsidP="00150D48">
      <w:pPr>
        <w:pStyle w:val="ListParagraph"/>
        <w:numPr>
          <w:ilvl w:val="0"/>
          <w:numId w:val="47"/>
        </w:numPr>
      </w:pPr>
      <w:r w:rsidRPr="00A35934">
        <w:rPr>
          <w:rFonts w:ascii="IBM Plex Sans SemiBold" w:hAnsi="IBM Plex Sans SemiBold"/>
        </w:rPr>
        <w:lastRenderedPageBreak/>
        <w:t>Risk Layer.</w:t>
      </w:r>
      <w:r w:rsidR="00150D48">
        <w:rPr>
          <w:rFonts w:ascii="IBM Plex Sans SemiBold" w:hAnsi="IBM Plex Sans SemiBold"/>
        </w:rPr>
        <w:br/>
      </w:r>
      <w:r w:rsidR="00150D48">
        <w:t>Composite Score: 782/1000 → Tier 2 (Good Risk)</w:t>
      </w:r>
    </w:p>
    <w:p w14:paraId="4CD5B32F" w14:textId="042B862C" w:rsidR="00D86A36" w:rsidRDefault="00150D48" w:rsidP="0081476A">
      <w:pPr>
        <w:pStyle w:val="ListParagraph"/>
        <w:ind w:left="360"/>
      </w:pPr>
      <w:r>
        <w:t>Confidence: 0.87 (High)</w:t>
      </w:r>
      <w:r w:rsidR="00D86A36">
        <w:br/>
        <w:t xml:space="preserve">Rationale: </w:t>
      </w:r>
      <w:r w:rsidR="0081476A">
        <w:t>Good T</w:t>
      </w:r>
      <w:r w:rsidR="00D86A36">
        <w:t>echnical Infrastructure</w:t>
      </w:r>
      <w:r w:rsidR="0081476A">
        <w:t xml:space="preserve">, Positive </w:t>
      </w:r>
      <w:r w:rsidR="00D86A36">
        <w:t>Network Authority</w:t>
      </w:r>
      <w:r w:rsidR="0081476A">
        <w:t xml:space="preserve">, </w:t>
      </w:r>
      <w:r w:rsidR="00A2028E">
        <w:t xml:space="preserve">Good Behavioural Signals, </w:t>
      </w:r>
      <w:r w:rsidR="00D86A36">
        <w:t>Corporate Footprint</w:t>
      </w:r>
      <w:r w:rsidR="00A2028E">
        <w:t xml:space="preserve"> extensive however</w:t>
      </w:r>
      <w:r w:rsidR="0040471B">
        <w:t xml:space="preserve">, </w:t>
      </w:r>
      <w:r w:rsidR="00D86A36">
        <w:t>12 open positions including CISO role.</w:t>
      </w:r>
    </w:p>
    <w:p w14:paraId="15517325" w14:textId="57C9744B" w:rsidR="00D95423" w:rsidRDefault="00931748" w:rsidP="00D95423">
      <w:pPr>
        <w:pStyle w:val="ListParagraph"/>
        <w:numPr>
          <w:ilvl w:val="0"/>
          <w:numId w:val="47"/>
        </w:numPr>
      </w:pPr>
      <w:r w:rsidRPr="00D95423">
        <w:rPr>
          <w:rFonts w:ascii="IBM Plex Sans SemiBold" w:hAnsi="IBM Plex Sans SemiBold"/>
        </w:rPr>
        <w:t>Exposure Shadow Layer.</w:t>
      </w:r>
      <w:r w:rsidR="00D95423">
        <w:rPr>
          <w:rFonts w:ascii="IBM Plex Sans SemiBold" w:hAnsi="IBM Plex Sans SemiBold"/>
        </w:rPr>
        <w:br/>
      </w:r>
      <w:r w:rsidR="00D95423" w:rsidRPr="00D95423">
        <w:t>Exposure Band: Medium ($10M-$50M implied TIV)</w:t>
      </w:r>
      <w:r w:rsidR="00D95423" w:rsidRPr="00D95423">
        <w:br/>
        <w:t>Complexity Score: Moderate</w:t>
      </w:r>
      <w:r w:rsidR="00D95423" w:rsidRPr="00D95423">
        <w:br/>
        <w:t>Exposure Confidence: 0.76</w:t>
      </w:r>
      <w:r w:rsidR="00D95423">
        <w:br/>
        <w:t xml:space="preserve">Rationale: </w:t>
      </w:r>
      <w:r w:rsidR="00E303BB">
        <w:t>38 subdomains, multi-cloud architecture, regulatory filings in 3 jurisdictions</w:t>
      </w:r>
      <w:r w:rsidR="0018536E">
        <w:t>.</w:t>
      </w:r>
    </w:p>
    <w:p w14:paraId="6538255D" w14:textId="47CE28A3" w:rsidR="007F3ED5" w:rsidRPr="007F3ED5" w:rsidRDefault="00931748" w:rsidP="007F3ED5">
      <w:pPr>
        <w:pStyle w:val="ListParagraph"/>
        <w:numPr>
          <w:ilvl w:val="0"/>
          <w:numId w:val="47"/>
        </w:numPr>
      </w:pPr>
      <w:r>
        <w:rPr>
          <w:rFonts w:ascii="IBM Plex Sans SemiBold" w:hAnsi="IBM Plex Sans SemiBold"/>
        </w:rPr>
        <w:t>L</w:t>
      </w:r>
      <w:r w:rsidRPr="00394ED0">
        <w:rPr>
          <w:rFonts w:ascii="IBM Plex Sans SemiBold" w:hAnsi="IBM Plex Sans SemiBold"/>
        </w:rPr>
        <w:t>oss Correlation Layer.</w:t>
      </w:r>
      <w:r w:rsidR="007F3ED5">
        <w:rPr>
          <w:rFonts w:ascii="IBM Plex Sans SemiBold" w:hAnsi="IBM Plex Sans SemiBold"/>
        </w:rPr>
        <w:br/>
      </w:r>
      <w:r w:rsidR="007F3ED5" w:rsidRPr="007F3ED5">
        <w:t>Loss Propensity: Low (score 28 / 100)</w:t>
      </w:r>
      <w:r w:rsidR="007F3ED5" w:rsidRPr="007F3ED5">
        <w:br/>
        <w:t>Severity Propensity: Moderate (score 42 / 100)</w:t>
      </w:r>
      <w:r w:rsidR="007F3ED5" w:rsidRPr="007F3ED5">
        <w:br/>
      </w:r>
      <w:r w:rsidR="000F462D">
        <w:t xml:space="preserve">Loss </w:t>
      </w:r>
      <w:r w:rsidR="009642D7">
        <w:t>Trend</w:t>
      </w:r>
      <w:r w:rsidR="000F462D">
        <w:t xml:space="preserve"> Band</w:t>
      </w:r>
      <w:r w:rsidR="007F3ED5" w:rsidRPr="007F3ED5">
        <w:t>: Stable</w:t>
      </w:r>
      <w:r w:rsidR="007F3ED5" w:rsidRPr="007F3ED5">
        <w:br/>
        <w:t xml:space="preserve">Cohort: </w:t>
      </w:r>
      <w:r w:rsidR="009642D7">
        <w:t>“</w:t>
      </w:r>
      <w:r w:rsidR="007F3ED5" w:rsidRPr="007F3ED5">
        <w:t>Tech Growth Mature Security”</w:t>
      </w:r>
      <w:r w:rsidR="007F3ED5" w:rsidRPr="007F3ED5">
        <w:br/>
        <w:t xml:space="preserve">Rationale: </w:t>
      </w:r>
      <w:r w:rsidR="007F3ED5" w:rsidRPr="007F3ED5">
        <w:t>governance stability, security posture trend, management tenure</w:t>
      </w:r>
      <w:r w:rsidR="007F3ED5" w:rsidRPr="007F3ED5">
        <w:t>.</w:t>
      </w:r>
    </w:p>
    <w:p w14:paraId="4040B396" w14:textId="77777777" w:rsidR="00931748" w:rsidRDefault="00931748" w:rsidP="00931748">
      <w:r w:rsidRPr="007A5962">
        <w:rPr>
          <w:rFonts w:ascii="IBM Plex Sans SemiBold" w:hAnsi="IBM Plex Sans SemiBold"/>
        </w:rPr>
        <w:t>Phase E – Pricing (Steps 8–12)</w:t>
      </w:r>
    </w:p>
    <w:p w14:paraId="00767BDC" w14:textId="0B5DFE1C" w:rsidR="007A3B53" w:rsidRDefault="00FD7CF0" w:rsidP="00C751E8">
      <w:pPr>
        <w:pStyle w:val="ListParagraph"/>
        <w:numPr>
          <w:ilvl w:val="0"/>
          <w:numId w:val="57"/>
        </w:numPr>
      </w:pPr>
      <w:r>
        <w:rPr>
          <w:rFonts w:ascii="IBM Plex Sans SemiBold" w:hAnsi="IBM Plex Sans SemiBold"/>
        </w:rPr>
        <w:t xml:space="preserve">Final </w:t>
      </w:r>
      <w:r w:rsidR="00371C31" w:rsidRPr="00371C31">
        <w:rPr>
          <w:rFonts w:ascii="IBM Plex Sans SemiBold" w:hAnsi="IBM Plex Sans SemiBold"/>
        </w:rPr>
        <w:t>Premium Calculatio</w:t>
      </w:r>
      <w:r>
        <w:rPr>
          <w:rFonts w:ascii="IBM Plex Sans SemiBold" w:hAnsi="IBM Plex Sans SemiBold"/>
        </w:rPr>
        <w:t>n ($5M limit): $20,250</w:t>
      </w:r>
      <w:r w:rsidR="00371C31">
        <w:rPr>
          <w:rFonts w:ascii="IBM Plex Sans SemiBold" w:hAnsi="IBM Plex Sans SemiBold"/>
        </w:rPr>
        <w:br/>
      </w:r>
      <w:r w:rsidR="00371C31" w:rsidRPr="00C751E8">
        <w:t>Base Rate: 0.45% of Limit</w:t>
      </w:r>
      <w:r w:rsidR="004014B6" w:rsidRPr="00C751E8">
        <w:br/>
        <w:t>Exposure Modifier: 1.00</w:t>
      </w:r>
      <w:r w:rsidR="004014B6" w:rsidRPr="00C751E8">
        <w:br/>
        <w:t>Complexity Modifier: 1.00</w:t>
      </w:r>
      <w:r w:rsidR="004014B6" w:rsidRPr="00C751E8">
        <w:br/>
        <w:t>Loss Modifier: 0.90</w:t>
      </w:r>
    </w:p>
    <w:p w14:paraId="76A5DCB7" w14:textId="67B695C9" w:rsidR="00931748" w:rsidRDefault="005607FC" w:rsidP="00931748">
      <w:pPr>
        <w:pStyle w:val="ListParagraph"/>
        <w:numPr>
          <w:ilvl w:val="0"/>
          <w:numId w:val="57"/>
        </w:numPr>
      </w:pPr>
      <w:r>
        <w:t>No Modifiers Applied.</w:t>
      </w:r>
    </w:p>
    <w:p w14:paraId="1829522B" w14:textId="77777777" w:rsidR="00931748" w:rsidRDefault="00931748" w:rsidP="00931748">
      <w:pPr>
        <w:rPr>
          <w:rFonts w:ascii="IBM Plex Sans SemiBold" w:hAnsi="IBM Plex Sans SemiBold"/>
        </w:rPr>
      </w:pPr>
      <w:r w:rsidRPr="007A5962">
        <w:rPr>
          <w:rFonts w:ascii="IBM Plex Sans SemiBold" w:hAnsi="IBM Plex Sans SemiBold"/>
        </w:rPr>
        <w:t>Phase F – Decision (Step 13)</w:t>
      </w:r>
    </w:p>
    <w:p w14:paraId="0E765784" w14:textId="77777777" w:rsidR="006C58A1" w:rsidRDefault="006C58A1" w:rsidP="006C58A1">
      <w:pPr>
        <w:pStyle w:val="ListParagraph"/>
        <w:numPr>
          <w:ilvl w:val="0"/>
          <w:numId w:val="56"/>
        </w:numPr>
      </w:pPr>
      <w:r>
        <w:t>Decision: AUTO-APPROVE (Tier 2, confidence 0.87, no referral triggers)</w:t>
      </w:r>
    </w:p>
    <w:p w14:paraId="4D4D7019" w14:textId="77777777" w:rsidR="006C58A1" w:rsidRDefault="006C58A1" w:rsidP="006C58A1">
      <w:pPr>
        <w:pStyle w:val="ListParagraph"/>
        <w:numPr>
          <w:ilvl w:val="0"/>
          <w:numId w:val="56"/>
        </w:numPr>
      </w:pPr>
      <w:r>
        <w:t>Total processing time: 47 seconds. Full audit trail persisted.</w:t>
      </w:r>
    </w:p>
    <w:p w14:paraId="609FE07E" w14:textId="174AE729" w:rsidR="005D0AF6" w:rsidRDefault="005D0AF6" w:rsidP="00C96B1B">
      <w:pPr>
        <w:pStyle w:val="Heading1"/>
      </w:pPr>
      <w:r>
        <w:t>Competitive Differentiation</w:t>
      </w:r>
    </w:p>
    <w:p w14:paraId="6E438A60" w14:textId="77777777" w:rsidR="005D0AF6" w:rsidRDefault="005D0AF6" w:rsidP="005D0AF6">
      <w:r>
        <w:t>DSI occupies a fundamentally different position in the underwriting landscape than existing signal-based tools.</w:t>
      </w:r>
    </w:p>
    <w:p w14:paraId="69760F41" w14:textId="12D5E9E3" w:rsidR="005D0AF6" w:rsidRDefault="005D0AF6" w:rsidP="005D0AF6">
      <w:pPr>
        <w:pStyle w:val="ListParagraph"/>
        <w:numPr>
          <w:ilvl w:val="0"/>
          <w:numId w:val="79"/>
        </w:numPr>
      </w:pPr>
      <w:r w:rsidRPr="005D0AF6">
        <w:rPr>
          <w:rFonts w:ascii="IBM Plex Sans SemiBold" w:hAnsi="IBM Plex Sans SemiBold"/>
        </w:rPr>
        <w:t>Cyber Rating Services</w:t>
      </w:r>
      <w:r w:rsidRPr="005D0AF6">
        <w:rPr>
          <w:rFonts w:ascii="IBM Plex Sans SemiBold" w:hAnsi="IBM Plex Sans SemiBold"/>
        </w:rPr>
        <w:t>.</w:t>
      </w:r>
      <w:r>
        <w:t xml:space="preserve"> </w:t>
      </w:r>
      <w:r>
        <w:br/>
      </w:r>
      <w:r>
        <w:t>Tools such as SecurityScorecard</w:t>
      </w:r>
      <w:r>
        <w:t xml:space="preserve"> and </w:t>
      </w:r>
      <w:r>
        <w:t>BitSight provide security posture scores derived from technical infrastructure signals. These are valuable inputs to underwriting, but they are not underwriting systems. They do not assign risk tiers, calculate premiums, estimate exposure, infer loss propensity, or render decisions. An underwriter receiving a BitSight score must still interpret it, contextualise it, and manually integrate it into a pricing workflow.</w:t>
      </w:r>
    </w:p>
    <w:p w14:paraId="17904B24" w14:textId="6A93C26B" w:rsidR="005D0AF6" w:rsidRDefault="005D0AF6" w:rsidP="005D0AF6">
      <w:pPr>
        <w:pStyle w:val="ListParagraph"/>
        <w:numPr>
          <w:ilvl w:val="0"/>
          <w:numId w:val="79"/>
        </w:numPr>
      </w:pPr>
      <w:r w:rsidRPr="005D0AF6">
        <w:rPr>
          <w:rFonts w:ascii="IBM Plex Sans SemiBold" w:hAnsi="IBM Plex Sans SemiBold"/>
        </w:rPr>
        <w:t>Other</w:t>
      </w:r>
      <w:r w:rsidRPr="005D0AF6">
        <w:rPr>
          <w:rFonts w:ascii="IBM Plex Sans SemiBold" w:hAnsi="IBM Plex Sans SemiBold"/>
        </w:rPr>
        <w:t xml:space="preserve"> Coverage</w:t>
      </w:r>
      <w:r w:rsidRPr="005D0AF6">
        <w:rPr>
          <w:rFonts w:ascii="IBM Plex Sans SemiBold" w:hAnsi="IBM Plex Sans SemiBold"/>
        </w:rPr>
        <w:t>s.</w:t>
      </w:r>
      <w:r>
        <w:br/>
        <w:t>N</w:t>
      </w:r>
      <w:r>
        <w:t xml:space="preserve">o equivalent signal providers exist at scale. </w:t>
      </w:r>
      <w:r>
        <w:t xml:space="preserve">For example, within </w:t>
      </w:r>
      <w:r>
        <w:t>Energy</w:t>
      </w:r>
      <w:r>
        <w:t xml:space="preserve"> no aggregation framework for</w:t>
      </w:r>
      <w:r>
        <w:t xml:space="preserve"> OT/IT convergence indicators, safety culture signals, environmental compliance patterns, and operational discipline markers </w:t>
      </w:r>
      <w:r>
        <w:t>exists</w:t>
      </w:r>
      <w:r>
        <w:t>. DSI provides one.</w:t>
      </w:r>
      <w:r>
        <w:t xml:space="preserve"> </w:t>
      </w:r>
    </w:p>
    <w:p w14:paraId="6CE4A837" w14:textId="5B42DAC1" w:rsidR="005D0AF6" w:rsidRPr="005D0AF6" w:rsidRDefault="005D0AF6" w:rsidP="005D0AF6">
      <w:r>
        <w:t>This is a categorical distinction.</w:t>
      </w:r>
      <w:r>
        <w:t xml:space="preserve"> </w:t>
      </w:r>
      <w:r w:rsidR="00552C49" w:rsidRPr="00552C49">
        <w:t>DSI is not a better data feed—it is a complete underwriting substrate</w:t>
      </w:r>
      <w:r>
        <w:t xml:space="preserve"> that happens to consume data feeds, including those from existing vendors, as inputs.</w:t>
      </w:r>
    </w:p>
    <w:p w14:paraId="7EF328F7" w14:textId="4D0F5795" w:rsidR="00F51085" w:rsidRDefault="00F51085" w:rsidP="00C96B1B">
      <w:pPr>
        <w:pStyle w:val="Heading1"/>
      </w:pPr>
      <w:r>
        <w:lastRenderedPageBreak/>
        <w:t>Economic Impact</w:t>
      </w:r>
    </w:p>
    <w:p w14:paraId="05F7F81F" w14:textId="4E2FB905" w:rsidR="00D22C44" w:rsidRPr="00D22C44" w:rsidRDefault="00D22C44" w:rsidP="00D22C44">
      <w:r w:rsidRPr="00D22C44">
        <w:t>The following projections are based on model architecture and assume signal availability ≥ 80% and straight-through processing rates ≥ 60%. Realisation timeline is estimated at 18–36 months from full deployment.</w:t>
      </w:r>
    </w:p>
    <w:p w14:paraId="2DC91944" w14:textId="0CB6282D" w:rsidR="00982FF7" w:rsidRDefault="00982FF7" w:rsidP="00982FF7">
      <w:pPr>
        <w:pStyle w:val="Heading2"/>
      </w:pPr>
      <w:r>
        <w:t>Expense</w:t>
      </w:r>
      <w:r w:rsidR="005521AE">
        <w:t xml:space="preserve"> R</w:t>
      </w:r>
      <w:r>
        <w:t>atios</w:t>
      </w:r>
    </w:p>
    <w:p w14:paraId="594DAE96" w14:textId="157040BA" w:rsidR="00B83CB3" w:rsidRDefault="0075018A" w:rsidP="00B83CB3">
      <w:r w:rsidRPr="0075018A">
        <w:t>DSI targets a structural reduction in expense ratio</w:t>
      </w:r>
      <w:r w:rsidR="00BA1855">
        <w:t xml:space="preserve"> </w:t>
      </w:r>
      <w:r w:rsidR="00BA1855" w:rsidRPr="00BA1855">
        <w:t>of approximately 22 points</w:t>
      </w:r>
      <w:r w:rsidRPr="0075018A">
        <w:t>:</w:t>
      </w:r>
    </w:p>
    <w:tbl>
      <w:tblPr>
        <w:tblStyle w:val="TableGrid"/>
        <w:tblW w:w="0" w:type="auto"/>
        <w:tblLook w:val="04A0" w:firstRow="1" w:lastRow="0" w:firstColumn="1" w:lastColumn="0" w:noHBand="0" w:noVBand="1"/>
      </w:tblPr>
      <w:tblGrid>
        <w:gridCol w:w="3005"/>
        <w:gridCol w:w="2606"/>
        <w:gridCol w:w="2606"/>
      </w:tblGrid>
      <w:tr w:rsidR="00C245BE" w14:paraId="35270A1A" w14:textId="77777777" w:rsidTr="003D51C7">
        <w:trPr>
          <w:tblHeader/>
        </w:trPr>
        <w:tc>
          <w:tcPr>
            <w:tcW w:w="3005" w:type="dxa"/>
            <w:shd w:val="clear" w:color="auto" w:fill="7A766F" w:themeFill="accent5"/>
          </w:tcPr>
          <w:p w14:paraId="654FD95B" w14:textId="348D7EAC" w:rsidR="00C245BE" w:rsidRPr="0007440B" w:rsidRDefault="00C245BE" w:rsidP="008B4C60">
            <w:pPr>
              <w:jc w:val="center"/>
              <w:rPr>
                <w:color w:val="FFFFFF" w:themeColor="background1"/>
              </w:rPr>
            </w:pPr>
            <w:r w:rsidRPr="0007440B">
              <w:rPr>
                <w:color w:val="FFFFFF" w:themeColor="background1"/>
              </w:rPr>
              <w:t>Metric</w:t>
            </w:r>
          </w:p>
        </w:tc>
        <w:tc>
          <w:tcPr>
            <w:tcW w:w="2606" w:type="dxa"/>
            <w:shd w:val="clear" w:color="auto" w:fill="7A766F" w:themeFill="accent5"/>
          </w:tcPr>
          <w:p w14:paraId="435271AB" w14:textId="15B79FCF" w:rsidR="00C245BE" w:rsidRPr="0007440B" w:rsidRDefault="00C245BE" w:rsidP="008B4C60">
            <w:pPr>
              <w:jc w:val="center"/>
              <w:rPr>
                <w:color w:val="FFFFFF" w:themeColor="background1"/>
              </w:rPr>
            </w:pPr>
            <w:r w:rsidRPr="0007440B">
              <w:rPr>
                <w:color w:val="FFFFFF" w:themeColor="background1"/>
              </w:rPr>
              <w:t>Traditional Model</w:t>
            </w:r>
          </w:p>
        </w:tc>
        <w:tc>
          <w:tcPr>
            <w:tcW w:w="2606" w:type="dxa"/>
            <w:shd w:val="clear" w:color="auto" w:fill="7A766F" w:themeFill="accent5"/>
          </w:tcPr>
          <w:p w14:paraId="4CDF7F64" w14:textId="2389F523" w:rsidR="00C245BE" w:rsidRPr="0007440B" w:rsidRDefault="00C245BE" w:rsidP="008B4C60">
            <w:pPr>
              <w:jc w:val="center"/>
              <w:rPr>
                <w:color w:val="FFFFFF" w:themeColor="background1"/>
              </w:rPr>
            </w:pPr>
            <w:r w:rsidRPr="0007440B">
              <w:rPr>
                <w:color w:val="FFFFFF" w:themeColor="background1"/>
              </w:rPr>
              <w:t>DSI Target</w:t>
            </w:r>
          </w:p>
        </w:tc>
      </w:tr>
      <w:tr w:rsidR="00C245BE" w14:paraId="50442958" w14:textId="77777777" w:rsidTr="003D51C7">
        <w:tc>
          <w:tcPr>
            <w:tcW w:w="3005" w:type="dxa"/>
          </w:tcPr>
          <w:p w14:paraId="35BB5B11" w14:textId="2F538CE7" w:rsidR="00C245BE" w:rsidRDefault="00C245BE" w:rsidP="00B83CB3">
            <w:r>
              <w:t>Staff Costs</w:t>
            </w:r>
          </w:p>
        </w:tc>
        <w:tc>
          <w:tcPr>
            <w:tcW w:w="2606" w:type="dxa"/>
          </w:tcPr>
          <w:p w14:paraId="6FA169EC" w14:textId="4853EAD4" w:rsidR="00C245BE" w:rsidRDefault="00C245BE" w:rsidP="008B4C60">
            <w:pPr>
              <w:jc w:val="right"/>
            </w:pPr>
            <w:r>
              <w:t>12%</w:t>
            </w:r>
          </w:p>
        </w:tc>
        <w:tc>
          <w:tcPr>
            <w:tcW w:w="2606" w:type="dxa"/>
          </w:tcPr>
          <w:p w14:paraId="1E697F45" w14:textId="6B9E98B2" w:rsidR="00C245BE" w:rsidRDefault="00C245BE" w:rsidP="008B4C60">
            <w:pPr>
              <w:jc w:val="right"/>
            </w:pPr>
            <w:r>
              <w:t>4%</w:t>
            </w:r>
          </w:p>
        </w:tc>
      </w:tr>
      <w:tr w:rsidR="00C245BE" w14:paraId="48A5BC5E" w14:textId="77777777" w:rsidTr="003D51C7">
        <w:tc>
          <w:tcPr>
            <w:tcW w:w="3005" w:type="dxa"/>
            <w:shd w:val="clear" w:color="auto" w:fill="E8E3DA" w:themeFill="background2"/>
          </w:tcPr>
          <w:p w14:paraId="27079001" w14:textId="2E224384" w:rsidR="00C245BE" w:rsidRDefault="00C245BE" w:rsidP="00B83CB3">
            <w:r>
              <w:t>Office and Infrastructure</w:t>
            </w:r>
          </w:p>
        </w:tc>
        <w:tc>
          <w:tcPr>
            <w:tcW w:w="2606" w:type="dxa"/>
            <w:shd w:val="clear" w:color="auto" w:fill="E8E3DA" w:themeFill="background2"/>
          </w:tcPr>
          <w:p w14:paraId="682C420A" w14:textId="4C4F97B0" w:rsidR="00C245BE" w:rsidRDefault="00C245BE" w:rsidP="008B4C60">
            <w:pPr>
              <w:jc w:val="right"/>
            </w:pPr>
            <w:r>
              <w:t>8%</w:t>
            </w:r>
          </w:p>
        </w:tc>
        <w:tc>
          <w:tcPr>
            <w:tcW w:w="2606" w:type="dxa"/>
            <w:shd w:val="clear" w:color="auto" w:fill="E8E3DA" w:themeFill="background2"/>
          </w:tcPr>
          <w:p w14:paraId="04EE6502" w14:textId="237989B4" w:rsidR="00C245BE" w:rsidRDefault="00C245BE" w:rsidP="008B4C60">
            <w:pPr>
              <w:jc w:val="right"/>
            </w:pPr>
            <w:r>
              <w:t>2%</w:t>
            </w:r>
          </w:p>
        </w:tc>
      </w:tr>
      <w:tr w:rsidR="00C245BE" w14:paraId="2359D519" w14:textId="77777777" w:rsidTr="003D51C7">
        <w:tc>
          <w:tcPr>
            <w:tcW w:w="3005" w:type="dxa"/>
          </w:tcPr>
          <w:p w14:paraId="25EBB3CE" w14:textId="22B28CBF" w:rsidR="00C245BE" w:rsidRDefault="00C245BE" w:rsidP="00B83CB3">
            <w:r>
              <w:t>Administration</w:t>
            </w:r>
          </w:p>
        </w:tc>
        <w:tc>
          <w:tcPr>
            <w:tcW w:w="2606" w:type="dxa"/>
          </w:tcPr>
          <w:p w14:paraId="5E5DA141" w14:textId="5BD66B45" w:rsidR="00C245BE" w:rsidRDefault="0007440B" w:rsidP="008B4C60">
            <w:pPr>
              <w:jc w:val="right"/>
            </w:pPr>
            <w:r>
              <w:t>4%</w:t>
            </w:r>
          </w:p>
        </w:tc>
        <w:tc>
          <w:tcPr>
            <w:tcW w:w="2606" w:type="dxa"/>
          </w:tcPr>
          <w:p w14:paraId="49001607" w14:textId="22E3D422" w:rsidR="00C245BE" w:rsidRDefault="0007440B" w:rsidP="008B4C60">
            <w:pPr>
              <w:jc w:val="right"/>
            </w:pPr>
            <w:r>
              <w:t>1%</w:t>
            </w:r>
          </w:p>
        </w:tc>
      </w:tr>
      <w:tr w:rsidR="00C245BE" w14:paraId="5851AE1E" w14:textId="77777777" w:rsidTr="003D51C7">
        <w:tc>
          <w:tcPr>
            <w:tcW w:w="3005" w:type="dxa"/>
            <w:shd w:val="clear" w:color="auto" w:fill="E8E3DA" w:themeFill="background2"/>
          </w:tcPr>
          <w:p w14:paraId="7BCEEEF1" w14:textId="6944585D" w:rsidR="00C245BE" w:rsidRDefault="0007440B" w:rsidP="00B83CB3">
            <w:r>
              <w:t>Brokerage and Commissions</w:t>
            </w:r>
          </w:p>
        </w:tc>
        <w:tc>
          <w:tcPr>
            <w:tcW w:w="2606" w:type="dxa"/>
            <w:shd w:val="clear" w:color="auto" w:fill="E8E3DA" w:themeFill="background2"/>
          </w:tcPr>
          <w:p w14:paraId="4CB19EEB" w14:textId="292E3F47" w:rsidR="00C245BE" w:rsidRDefault="0007440B" w:rsidP="008B4C60">
            <w:pPr>
              <w:jc w:val="right"/>
            </w:pPr>
            <w:r>
              <w:t>11%</w:t>
            </w:r>
          </w:p>
        </w:tc>
        <w:tc>
          <w:tcPr>
            <w:tcW w:w="2606" w:type="dxa"/>
            <w:shd w:val="clear" w:color="auto" w:fill="E8E3DA" w:themeFill="background2"/>
          </w:tcPr>
          <w:p w14:paraId="552A7184" w14:textId="66E63CDD" w:rsidR="00C245BE" w:rsidRDefault="0007440B" w:rsidP="008B4C60">
            <w:pPr>
              <w:jc w:val="right"/>
            </w:pPr>
            <w:r>
              <w:t>6%</w:t>
            </w:r>
          </w:p>
        </w:tc>
      </w:tr>
      <w:tr w:rsidR="004B1C6C" w14:paraId="5656A659" w14:textId="77777777" w:rsidTr="003D51C7">
        <w:tc>
          <w:tcPr>
            <w:tcW w:w="3005" w:type="dxa"/>
            <w:shd w:val="clear" w:color="auto" w:fill="0B3954" w:themeFill="accent1"/>
          </w:tcPr>
          <w:p w14:paraId="18DF62D8" w14:textId="34425E23" w:rsidR="004B1C6C" w:rsidRPr="003A3C68" w:rsidRDefault="004B1C6C" w:rsidP="00B83CB3">
            <w:pPr>
              <w:rPr>
                <w:rFonts w:ascii="IBM Plex Sans Medium" w:hAnsi="IBM Plex Sans Medium"/>
              </w:rPr>
            </w:pPr>
            <w:r w:rsidRPr="003A3C68">
              <w:rPr>
                <w:rFonts w:ascii="IBM Plex Sans Medium" w:hAnsi="IBM Plex Sans Medium"/>
              </w:rPr>
              <w:t>Total</w:t>
            </w:r>
          </w:p>
        </w:tc>
        <w:tc>
          <w:tcPr>
            <w:tcW w:w="2606" w:type="dxa"/>
            <w:shd w:val="clear" w:color="auto" w:fill="0B3954" w:themeFill="accent1"/>
          </w:tcPr>
          <w:p w14:paraId="4CDFC44C" w14:textId="473360AC" w:rsidR="004B1C6C" w:rsidRPr="003A3C68" w:rsidRDefault="00950573" w:rsidP="008B4C60">
            <w:pPr>
              <w:jc w:val="right"/>
              <w:rPr>
                <w:rFonts w:ascii="IBM Plex Sans Medium" w:hAnsi="IBM Plex Sans Medium"/>
              </w:rPr>
            </w:pPr>
            <w:r w:rsidRPr="003A3C68">
              <w:rPr>
                <w:rFonts w:ascii="IBM Plex Sans Medium" w:hAnsi="IBM Plex Sans Medium"/>
              </w:rPr>
              <w:t>35%</w:t>
            </w:r>
          </w:p>
        </w:tc>
        <w:tc>
          <w:tcPr>
            <w:tcW w:w="2606" w:type="dxa"/>
            <w:shd w:val="clear" w:color="auto" w:fill="0B3954" w:themeFill="accent1"/>
          </w:tcPr>
          <w:p w14:paraId="3F7A6A8E" w14:textId="44BF747A" w:rsidR="004B1C6C" w:rsidRPr="003A3C68" w:rsidRDefault="00950573" w:rsidP="008B4C60">
            <w:pPr>
              <w:jc w:val="right"/>
              <w:rPr>
                <w:rFonts w:ascii="IBM Plex Sans Medium" w:hAnsi="IBM Plex Sans Medium"/>
              </w:rPr>
            </w:pPr>
            <w:r w:rsidRPr="003A3C68">
              <w:rPr>
                <w:rFonts w:ascii="IBM Plex Sans Medium" w:hAnsi="IBM Plex Sans Medium"/>
              </w:rPr>
              <w:t>13%</w:t>
            </w:r>
          </w:p>
        </w:tc>
      </w:tr>
    </w:tbl>
    <w:p w14:paraId="3F35F19F" w14:textId="77777777" w:rsidR="00B3133E" w:rsidRDefault="00B3133E" w:rsidP="00B3133E">
      <w:pPr>
        <w:pStyle w:val="Heading2"/>
      </w:pPr>
      <w:r>
        <w:t>Operational Metrics</w:t>
      </w:r>
    </w:p>
    <w:tbl>
      <w:tblPr>
        <w:tblStyle w:val="TableGrid"/>
        <w:tblW w:w="0" w:type="auto"/>
        <w:tblLook w:val="04A0" w:firstRow="1" w:lastRow="0" w:firstColumn="1" w:lastColumn="0" w:noHBand="0" w:noVBand="1"/>
      </w:tblPr>
      <w:tblGrid>
        <w:gridCol w:w="2985"/>
        <w:gridCol w:w="2616"/>
        <w:gridCol w:w="2616"/>
      </w:tblGrid>
      <w:tr w:rsidR="00B3133E" w14:paraId="24C4DEC9" w14:textId="77777777" w:rsidTr="003D51C7">
        <w:trPr>
          <w:tblHeader/>
        </w:trPr>
        <w:tc>
          <w:tcPr>
            <w:tcW w:w="2985" w:type="dxa"/>
            <w:shd w:val="clear" w:color="auto" w:fill="7A766F" w:themeFill="accent5"/>
          </w:tcPr>
          <w:p w14:paraId="138339EE" w14:textId="77777777" w:rsidR="00B3133E" w:rsidRPr="0007440B" w:rsidRDefault="00B3133E" w:rsidP="000A03F5">
            <w:pPr>
              <w:jc w:val="center"/>
              <w:rPr>
                <w:color w:val="FFFFFF" w:themeColor="background1"/>
              </w:rPr>
            </w:pPr>
            <w:r>
              <w:rPr>
                <w:color w:val="FFFFFF" w:themeColor="background1"/>
              </w:rPr>
              <w:t>Metric</w:t>
            </w:r>
          </w:p>
        </w:tc>
        <w:tc>
          <w:tcPr>
            <w:tcW w:w="2616" w:type="dxa"/>
            <w:shd w:val="clear" w:color="auto" w:fill="7A766F" w:themeFill="accent5"/>
          </w:tcPr>
          <w:p w14:paraId="2C5218C8" w14:textId="77777777" w:rsidR="00B3133E" w:rsidRPr="0007440B" w:rsidRDefault="00B3133E" w:rsidP="000A03F5">
            <w:pPr>
              <w:jc w:val="center"/>
              <w:rPr>
                <w:color w:val="FFFFFF" w:themeColor="background1"/>
              </w:rPr>
            </w:pPr>
            <w:r>
              <w:rPr>
                <w:color w:val="FFFFFF" w:themeColor="background1"/>
              </w:rPr>
              <w:t>Traditional Model</w:t>
            </w:r>
          </w:p>
        </w:tc>
        <w:tc>
          <w:tcPr>
            <w:tcW w:w="2616" w:type="dxa"/>
            <w:shd w:val="clear" w:color="auto" w:fill="7A766F" w:themeFill="accent5"/>
          </w:tcPr>
          <w:p w14:paraId="648D88C5" w14:textId="77777777" w:rsidR="00B3133E" w:rsidRPr="0007440B" w:rsidRDefault="00B3133E" w:rsidP="000A03F5">
            <w:pPr>
              <w:jc w:val="center"/>
              <w:rPr>
                <w:color w:val="FFFFFF" w:themeColor="background1"/>
              </w:rPr>
            </w:pPr>
            <w:r w:rsidRPr="0007440B">
              <w:rPr>
                <w:color w:val="FFFFFF" w:themeColor="background1"/>
              </w:rPr>
              <w:t>DSI Target</w:t>
            </w:r>
          </w:p>
        </w:tc>
      </w:tr>
      <w:tr w:rsidR="003D51C7" w14:paraId="463C6DBB" w14:textId="77777777" w:rsidTr="003D51C7">
        <w:tc>
          <w:tcPr>
            <w:tcW w:w="2985" w:type="dxa"/>
          </w:tcPr>
          <w:p w14:paraId="2FA38A1B" w14:textId="2235B23D" w:rsidR="003D51C7" w:rsidRDefault="003D51C7" w:rsidP="003D51C7">
            <w:r w:rsidRPr="007C7F1D">
              <w:t>Time to quote</w:t>
            </w:r>
          </w:p>
        </w:tc>
        <w:tc>
          <w:tcPr>
            <w:tcW w:w="2616" w:type="dxa"/>
          </w:tcPr>
          <w:p w14:paraId="2FF5F36B" w14:textId="7FEFCC1B" w:rsidR="003D51C7" w:rsidRDefault="003D51C7" w:rsidP="003D51C7">
            <w:pPr>
              <w:jc w:val="right"/>
            </w:pPr>
            <w:r w:rsidRPr="007C7F1D">
              <w:t>3–10 days</w:t>
            </w:r>
          </w:p>
        </w:tc>
        <w:tc>
          <w:tcPr>
            <w:tcW w:w="2616" w:type="dxa"/>
          </w:tcPr>
          <w:p w14:paraId="09881FE6" w14:textId="283D6023" w:rsidR="003D51C7" w:rsidRDefault="003D51C7" w:rsidP="003D51C7">
            <w:pPr>
              <w:jc w:val="right"/>
            </w:pPr>
            <w:r w:rsidRPr="007C7F1D">
              <w:t>&lt; 60 seconds</w:t>
            </w:r>
          </w:p>
        </w:tc>
      </w:tr>
      <w:tr w:rsidR="003D51C7" w14:paraId="326BFDC1" w14:textId="77777777" w:rsidTr="003D51C7">
        <w:tc>
          <w:tcPr>
            <w:tcW w:w="2985" w:type="dxa"/>
            <w:shd w:val="clear" w:color="auto" w:fill="E8E3DA" w:themeFill="background2"/>
          </w:tcPr>
          <w:p w14:paraId="174A7B19" w14:textId="25F6AC8C" w:rsidR="003D51C7" w:rsidRDefault="003D51C7" w:rsidP="003D51C7">
            <w:r w:rsidRPr="007C7F1D">
              <w:t>Cost per submission</w:t>
            </w:r>
          </w:p>
        </w:tc>
        <w:tc>
          <w:tcPr>
            <w:tcW w:w="2616" w:type="dxa"/>
            <w:shd w:val="clear" w:color="auto" w:fill="E8E3DA" w:themeFill="background2"/>
          </w:tcPr>
          <w:p w14:paraId="1F613198" w14:textId="4424F9A1" w:rsidR="003D51C7" w:rsidRDefault="003D51C7" w:rsidP="003D51C7">
            <w:pPr>
              <w:jc w:val="right"/>
            </w:pPr>
            <w:r w:rsidRPr="007C7F1D">
              <w:t>$150–</w:t>
            </w:r>
            <w:r>
              <w:t>650</w:t>
            </w:r>
          </w:p>
        </w:tc>
        <w:tc>
          <w:tcPr>
            <w:tcW w:w="2616" w:type="dxa"/>
            <w:shd w:val="clear" w:color="auto" w:fill="E8E3DA" w:themeFill="background2"/>
          </w:tcPr>
          <w:p w14:paraId="6EB860F1" w14:textId="755E4A35" w:rsidR="003D51C7" w:rsidRDefault="003D51C7" w:rsidP="003D51C7">
            <w:pPr>
              <w:jc w:val="right"/>
            </w:pPr>
            <w:r w:rsidRPr="007C7F1D">
              <w:t>&lt; $10</w:t>
            </w:r>
          </w:p>
        </w:tc>
      </w:tr>
      <w:tr w:rsidR="003D51C7" w14:paraId="71893035" w14:textId="77777777" w:rsidTr="003D51C7">
        <w:tc>
          <w:tcPr>
            <w:tcW w:w="2985" w:type="dxa"/>
          </w:tcPr>
          <w:p w14:paraId="73F2A6DB" w14:textId="3D51C5D2" w:rsidR="003D51C7" w:rsidRPr="00431360" w:rsidRDefault="003D51C7" w:rsidP="003D51C7">
            <w:r w:rsidRPr="007C7F1D">
              <w:t>Straight-through rate</w:t>
            </w:r>
          </w:p>
        </w:tc>
        <w:tc>
          <w:tcPr>
            <w:tcW w:w="2616" w:type="dxa"/>
          </w:tcPr>
          <w:p w14:paraId="3EF82648" w14:textId="051ED8CB" w:rsidR="003D51C7" w:rsidRDefault="003D51C7" w:rsidP="003D51C7">
            <w:pPr>
              <w:jc w:val="right"/>
            </w:pPr>
            <w:r w:rsidRPr="007C7F1D">
              <w:t>5–15%</w:t>
            </w:r>
          </w:p>
        </w:tc>
        <w:tc>
          <w:tcPr>
            <w:tcW w:w="2616" w:type="dxa"/>
          </w:tcPr>
          <w:p w14:paraId="50E16269" w14:textId="0B6F8C83" w:rsidR="003D51C7" w:rsidRDefault="003D51C7" w:rsidP="003D51C7">
            <w:pPr>
              <w:jc w:val="right"/>
            </w:pPr>
            <w:r w:rsidRPr="007C7F1D">
              <w:t>60–80%</w:t>
            </w:r>
          </w:p>
        </w:tc>
      </w:tr>
      <w:tr w:rsidR="003D51C7" w14:paraId="234BCF6F" w14:textId="77777777" w:rsidTr="003D51C7">
        <w:tc>
          <w:tcPr>
            <w:tcW w:w="2985" w:type="dxa"/>
            <w:shd w:val="clear" w:color="auto" w:fill="E8E3DA" w:themeFill="background2"/>
          </w:tcPr>
          <w:p w14:paraId="370B47D5" w14:textId="516E29DF" w:rsidR="003D51C7" w:rsidRPr="00431360" w:rsidRDefault="003D51C7" w:rsidP="003D51C7">
            <w:r w:rsidRPr="007C7F1D">
              <w:t>Model versioning</w:t>
            </w:r>
          </w:p>
        </w:tc>
        <w:tc>
          <w:tcPr>
            <w:tcW w:w="2616" w:type="dxa"/>
            <w:shd w:val="clear" w:color="auto" w:fill="E8E3DA" w:themeFill="background2"/>
          </w:tcPr>
          <w:p w14:paraId="46CF837B" w14:textId="0A493744" w:rsidR="003D51C7" w:rsidRDefault="003D51C7" w:rsidP="003D51C7">
            <w:r w:rsidRPr="007C7F1D">
              <w:t>Manual, inconsistent</w:t>
            </w:r>
          </w:p>
        </w:tc>
        <w:tc>
          <w:tcPr>
            <w:tcW w:w="2616" w:type="dxa"/>
            <w:shd w:val="clear" w:color="auto" w:fill="E8E3DA" w:themeFill="background2"/>
          </w:tcPr>
          <w:p w14:paraId="21F3DC01" w14:textId="35D9EAB8" w:rsidR="003D51C7" w:rsidRDefault="003D51C7" w:rsidP="003D51C7">
            <w:r w:rsidRPr="007C7F1D">
              <w:t>Automatic, immutable</w:t>
            </w:r>
          </w:p>
        </w:tc>
      </w:tr>
      <w:tr w:rsidR="003D51C7" w14:paraId="0C960376" w14:textId="77777777" w:rsidTr="003D51C7">
        <w:tc>
          <w:tcPr>
            <w:tcW w:w="2985" w:type="dxa"/>
          </w:tcPr>
          <w:p w14:paraId="2E618A3A" w14:textId="040E6578" w:rsidR="003D51C7" w:rsidRPr="00431360" w:rsidRDefault="003D51C7" w:rsidP="003D51C7">
            <w:r w:rsidRPr="007C7F1D">
              <w:t>Audit trail</w:t>
            </w:r>
          </w:p>
        </w:tc>
        <w:tc>
          <w:tcPr>
            <w:tcW w:w="2616" w:type="dxa"/>
          </w:tcPr>
          <w:p w14:paraId="6F008FAF" w14:textId="37577127" w:rsidR="003D51C7" w:rsidRDefault="003D51C7" w:rsidP="003D51C7">
            <w:r w:rsidRPr="007C7F1D">
              <w:t>Partial, reconstructed</w:t>
            </w:r>
          </w:p>
        </w:tc>
        <w:tc>
          <w:tcPr>
            <w:tcW w:w="2616" w:type="dxa"/>
          </w:tcPr>
          <w:p w14:paraId="03952AC2" w14:textId="309CC6BA" w:rsidR="003D51C7" w:rsidRDefault="003D51C7" w:rsidP="003D51C7">
            <w:r w:rsidRPr="007C7F1D">
              <w:t>Complete, immutable</w:t>
            </w:r>
          </w:p>
        </w:tc>
      </w:tr>
      <w:tr w:rsidR="003D51C7" w14:paraId="0ED45EA3" w14:textId="77777777" w:rsidTr="003D51C7">
        <w:tc>
          <w:tcPr>
            <w:tcW w:w="2985" w:type="dxa"/>
            <w:shd w:val="clear" w:color="auto" w:fill="E8E3DA" w:themeFill="background2"/>
          </w:tcPr>
          <w:p w14:paraId="720F7512" w14:textId="09809415" w:rsidR="003D51C7" w:rsidRPr="00431360" w:rsidRDefault="003D51C7" w:rsidP="003D51C7">
            <w:r w:rsidRPr="007C7F1D">
              <w:t>Scalability</w:t>
            </w:r>
          </w:p>
        </w:tc>
        <w:tc>
          <w:tcPr>
            <w:tcW w:w="2616" w:type="dxa"/>
            <w:shd w:val="clear" w:color="auto" w:fill="E8E3DA" w:themeFill="background2"/>
          </w:tcPr>
          <w:p w14:paraId="560B1E03" w14:textId="24BD9A2F" w:rsidR="003D51C7" w:rsidRDefault="003D51C7" w:rsidP="003D51C7">
            <w:r w:rsidRPr="007C7F1D">
              <w:t>Linear (headcount)</w:t>
            </w:r>
          </w:p>
        </w:tc>
        <w:tc>
          <w:tcPr>
            <w:tcW w:w="2616" w:type="dxa"/>
            <w:shd w:val="clear" w:color="auto" w:fill="E8E3DA" w:themeFill="background2"/>
          </w:tcPr>
          <w:p w14:paraId="038B3747" w14:textId="18D0CB87" w:rsidR="003D51C7" w:rsidRDefault="003D51C7" w:rsidP="003D51C7">
            <w:r w:rsidRPr="007C7F1D">
              <w:t>Logarithmic (compute)</w:t>
            </w:r>
          </w:p>
        </w:tc>
      </w:tr>
    </w:tbl>
    <w:p w14:paraId="09273FFA" w14:textId="6EC17DD7" w:rsidR="00F51085" w:rsidRDefault="00F51085" w:rsidP="00C96B1B">
      <w:pPr>
        <w:pStyle w:val="Heading2"/>
      </w:pPr>
      <w:r>
        <w:t>Loss</w:t>
      </w:r>
      <w:r w:rsidR="005521AE">
        <w:t xml:space="preserve"> R</w:t>
      </w:r>
      <w:r>
        <w:t>atio</w:t>
      </w:r>
      <w:r w:rsidR="00982FF7">
        <w:t>s</w:t>
      </w:r>
    </w:p>
    <w:p w14:paraId="41CE1636" w14:textId="2B9BDCBA" w:rsidR="00F51085" w:rsidRDefault="000432E6" w:rsidP="00F51085">
      <w:r w:rsidRPr="000432E6">
        <w:t>DSI targets a structural improvement in loss ratios through two mechanisms:</w:t>
      </w:r>
    </w:p>
    <w:tbl>
      <w:tblPr>
        <w:tblStyle w:val="TableGrid"/>
        <w:tblW w:w="0" w:type="auto"/>
        <w:tblLook w:val="04A0" w:firstRow="1" w:lastRow="0" w:firstColumn="1" w:lastColumn="0" w:noHBand="0" w:noVBand="1"/>
      </w:tblPr>
      <w:tblGrid>
        <w:gridCol w:w="2985"/>
        <w:gridCol w:w="2986"/>
        <w:gridCol w:w="2246"/>
      </w:tblGrid>
      <w:tr w:rsidR="000432E6" w14:paraId="6CADC5F0" w14:textId="77777777" w:rsidTr="003D51C7">
        <w:trPr>
          <w:tblHeader/>
        </w:trPr>
        <w:tc>
          <w:tcPr>
            <w:tcW w:w="2985" w:type="dxa"/>
            <w:shd w:val="clear" w:color="auto" w:fill="7A766F" w:themeFill="accent5"/>
          </w:tcPr>
          <w:p w14:paraId="53356B2C" w14:textId="01A56D21" w:rsidR="000432E6" w:rsidRPr="0007440B" w:rsidRDefault="00D5415D" w:rsidP="00AC000C">
            <w:pPr>
              <w:jc w:val="center"/>
              <w:rPr>
                <w:color w:val="FFFFFF" w:themeColor="background1"/>
              </w:rPr>
            </w:pPr>
            <w:r>
              <w:rPr>
                <w:color w:val="FFFFFF" w:themeColor="background1"/>
              </w:rPr>
              <w:t>Source</w:t>
            </w:r>
          </w:p>
        </w:tc>
        <w:tc>
          <w:tcPr>
            <w:tcW w:w="2986" w:type="dxa"/>
            <w:shd w:val="clear" w:color="auto" w:fill="7A766F" w:themeFill="accent5"/>
          </w:tcPr>
          <w:p w14:paraId="50EF7CF8" w14:textId="07DC8CB3" w:rsidR="000432E6" w:rsidRPr="0007440B" w:rsidRDefault="00D5415D" w:rsidP="000A03F5">
            <w:pPr>
              <w:jc w:val="center"/>
              <w:rPr>
                <w:color w:val="FFFFFF" w:themeColor="background1"/>
              </w:rPr>
            </w:pPr>
            <w:r>
              <w:rPr>
                <w:color w:val="FFFFFF" w:themeColor="background1"/>
              </w:rPr>
              <w:t>Mechanism</w:t>
            </w:r>
          </w:p>
        </w:tc>
        <w:tc>
          <w:tcPr>
            <w:tcW w:w="2246" w:type="dxa"/>
            <w:shd w:val="clear" w:color="auto" w:fill="7A766F" w:themeFill="accent5"/>
          </w:tcPr>
          <w:p w14:paraId="435D485C" w14:textId="62256DBB" w:rsidR="000432E6" w:rsidRPr="0007440B" w:rsidRDefault="000432E6" w:rsidP="000A03F5">
            <w:pPr>
              <w:jc w:val="center"/>
              <w:rPr>
                <w:color w:val="FFFFFF" w:themeColor="background1"/>
              </w:rPr>
            </w:pPr>
            <w:r w:rsidRPr="0007440B">
              <w:rPr>
                <w:color w:val="FFFFFF" w:themeColor="background1"/>
              </w:rPr>
              <w:t>DSI Target</w:t>
            </w:r>
          </w:p>
        </w:tc>
      </w:tr>
      <w:tr w:rsidR="000432E6" w14:paraId="3089E417" w14:textId="77777777" w:rsidTr="003D51C7">
        <w:tc>
          <w:tcPr>
            <w:tcW w:w="2985" w:type="dxa"/>
          </w:tcPr>
          <w:p w14:paraId="59CF3D51" w14:textId="21209F64" w:rsidR="000432E6" w:rsidRDefault="000432E6" w:rsidP="00AC000C">
            <w:r>
              <w:t xml:space="preserve">Loss </w:t>
            </w:r>
            <w:r w:rsidR="00E74DB5">
              <w:t>Signal Correlation</w:t>
            </w:r>
          </w:p>
        </w:tc>
        <w:tc>
          <w:tcPr>
            <w:tcW w:w="2986" w:type="dxa"/>
          </w:tcPr>
          <w:p w14:paraId="0C5CAF03" w14:textId="1267F5F3" w:rsidR="000432E6" w:rsidRDefault="00D5415D" w:rsidP="00A96D86">
            <w:r>
              <w:t>Behaviour-driven propensity</w:t>
            </w:r>
          </w:p>
        </w:tc>
        <w:tc>
          <w:tcPr>
            <w:tcW w:w="2246" w:type="dxa"/>
          </w:tcPr>
          <w:p w14:paraId="7E702D61" w14:textId="33AB6D75" w:rsidR="000432E6" w:rsidRDefault="00A96D86" w:rsidP="000A03F5">
            <w:pPr>
              <w:jc w:val="right"/>
            </w:pPr>
            <w:r>
              <w:t>4 – 8 points</w:t>
            </w:r>
          </w:p>
        </w:tc>
      </w:tr>
      <w:tr w:rsidR="000432E6" w14:paraId="6EC07645" w14:textId="77777777" w:rsidTr="003D51C7">
        <w:tc>
          <w:tcPr>
            <w:tcW w:w="2985" w:type="dxa"/>
            <w:shd w:val="clear" w:color="auto" w:fill="E8E3DA" w:themeFill="background2"/>
          </w:tcPr>
          <w:p w14:paraId="5FA3BE0F" w14:textId="4A14506C" w:rsidR="000432E6" w:rsidRDefault="000432E6" w:rsidP="00AC000C">
            <w:r w:rsidRPr="00431360">
              <w:t xml:space="preserve">Continuous </w:t>
            </w:r>
            <w:r w:rsidR="00E74DB5">
              <w:t>Calibration</w:t>
            </w:r>
          </w:p>
        </w:tc>
        <w:tc>
          <w:tcPr>
            <w:tcW w:w="2986" w:type="dxa"/>
            <w:shd w:val="clear" w:color="auto" w:fill="E8E3DA" w:themeFill="background2"/>
          </w:tcPr>
          <w:p w14:paraId="2DB50DA1" w14:textId="0466CCBB" w:rsidR="000432E6" w:rsidRDefault="00E74DB5" w:rsidP="00A96D86">
            <w:r>
              <w:t>Dynamic model tuning</w:t>
            </w:r>
          </w:p>
        </w:tc>
        <w:tc>
          <w:tcPr>
            <w:tcW w:w="2246" w:type="dxa"/>
            <w:shd w:val="clear" w:color="auto" w:fill="E8E3DA" w:themeFill="background2"/>
          </w:tcPr>
          <w:p w14:paraId="27BF3E29" w14:textId="7DE5C4E3" w:rsidR="000432E6" w:rsidRDefault="00A96D86" w:rsidP="000A03F5">
            <w:pPr>
              <w:jc w:val="right"/>
            </w:pPr>
            <w:r>
              <w:t>2 – 4 points</w:t>
            </w:r>
          </w:p>
        </w:tc>
      </w:tr>
      <w:tr w:rsidR="00A96D86" w14:paraId="71FB12F8" w14:textId="77777777" w:rsidTr="003D51C7">
        <w:tc>
          <w:tcPr>
            <w:tcW w:w="2985" w:type="dxa"/>
            <w:shd w:val="clear" w:color="auto" w:fill="0B3954" w:themeFill="accent1"/>
          </w:tcPr>
          <w:p w14:paraId="273DAD72" w14:textId="1B15D0CF" w:rsidR="00A96D86" w:rsidRPr="00A96D86" w:rsidRDefault="00A96D86" w:rsidP="00AC000C">
            <w:pPr>
              <w:rPr>
                <w:rFonts w:ascii="IBM Plex Sans Medium" w:hAnsi="IBM Plex Sans Medium"/>
              </w:rPr>
            </w:pPr>
            <w:r>
              <w:rPr>
                <w:rFonts w:ascii="IBM Plex Sans Medium" w:hAnsi="IBM Plex Sans Medium"/>
              </w:rPr>
              <w:t>Total</w:t>
            </w:r>
          </w:p>
        </w:tc>
        <w:tc>
          <w:tcPr>
            <w:tcW w:w="2986" w:type="dxa"/>
            <w:shd w:val="clear" w:color="auto" w:fill="0B3954" w:themeFill="accent1"/>
          </w:tcPr>
          <w:p w14:paraId="0433AA10" w14:textId="77777777" w:rsidR="00A96D86" w:rsidRPr="00A96D86" w:rsidRDefault="00A96D86" w:rsidP="00A96D86">
            <w:pPr>
              <w:rPr>
                <w:rFonts w:ascii="IBM Plex Sans Medium" w:hAnsi="IBM Plex Sans Medium"/>
              </w:rPr>
            </w:pPr>
          </w:p>
        </w:tc>
        <w:tc>
          <w:tcPr>
            <w:tcW w:w="2246" w:type="dxa"/>
            <w:shd w:val="clear" w:color="auto" w:fill="0B3954" w:themeFill="accent1"/>
          </w:tcPr>
          <w:p w14:paraId="4D0FCB67" w14:textId="6EFCD487" w:rsidR="00A96D86" w:rsidRPr="00A96D86" w:rsidRDefault="000737E6" w:rsidP="000A03F5">
            <w:pPr>
              <w:jc w:val="right"/>
              <w:rPr>
                <w:rFonts w:ascii="IBM Plex Sans Medium" w:hAnsi="IBM Plex Sans Medium"/>
              </w:rPr>
            </w:pPr>
            <w:r>
              <w:rPr>
                <w:rFonts w:ascii="IBM Plex Sans Medium" w:hAnsi="IBM Plex Sans Medium"/>
              </w:rPr>
              <w:t>6 – 12 points</w:t>
            </w:r>
          </w:p>
        </w:tc>
      </w:tr>
    </w:tbl>
    <w:p w14:paraId="6950464F" w14:textId="77777777" w:rsidR="008A559D" w:rsidRPr="008A559D" w:rsidRDefault="008A559D" w:rsidP="008A559D"/>
    <w:p w14:paraId="18132E3C" w14:textId="3FE25A95" w:rsidR="00F51085" w:rsidRDefault="004749E5" w:rsidP="00C96B1B">
      <w:pPr>
        <w:pStyle w:val="Heading2"/>
      </w:pPr>
      <w:r>
        <w:t xml:space="preserve">Overall </w:t>
      </w:r>
      <w:r w:rsidR="00F51085">
        <w:t>Portfolio Impact</w:t>
      </w:r>
    </w:p>
    <w:p w14:paraId="32E1670D" w14:textId="68811B21" w:rsidR="00F51085" w:rsidRDefault="00122EF5" w:rsidP="00F51085">
      <w:r w:rsidRPr="00122EF5">
        <w:t>On a $500M premium book, these improvements represent $130M–$170M in improved</w:t>
      </w:r>
      <w:r>
        <w:t xml:space="preserve"> </w:t>
      </w:r>
      <w:r w:rsidRPr="00122EF5">
        <w:t>underwriting profit.</w:t>
      </w:r>
    </w:p>
    <w:p w14:paraId="60203AD5" w14:textId="0FA1C71E" w:rsidR="002906A0" w:rsidRDefault="002906A0" w:rsidP="002906A0">
      <w:pPr>
        <w:pStyle w:val="Heading2"/>
      </w:pPr>
      <w:r>
        <w:t>Key Assumptions</w:t>
      </w:r>
    </w:p>
    <w:tbl>
      <w:tblPr>
        <w:tblStyle w:val="TableGrid"/>
        <w:tblW w:w="0" w:type="auto"/>
        <w:tblLook w:val="04A0" w:firstRow="1" w:lastRow="0" w:firstColumn="1" w:lastColumn="0" w:noHBand="0" w:noVBand="1"/>
      </w:tblPr>
      <w:tblGrid>
        <w:gridCol w:w="3005"/>
        <w:gridCol w:w="2093"/>
        <w:gridCol w:w="3119"/>
      </w:tblGrid>
      <w:tr w:rsidR="00EF0DCF" w14:paraId="46AFD0A8" w14:textId="77777777" w:rsidTr="00EF0DCF">
        <w:trPr>
          <w:tblHeader/>
        </w:trPr>
        <w:tc>
          <w:tcPr>
            <w:tcW w:w="3005" w:type="dxa"/>
            <w:shd w:val="clear" w:color="auto" w:fill="7A766F" w:themeFill="accent5"/>
          </w:tcPr>
          <w:p w14:paraId="4B4272AD" w14:textId="0B32927C" w:rsidR="004D0AA9" w:rsidRPr="0007440B" w:rsidRDefault="004D0AA9" w:rsidP="000A03F5">
            <w:pPr>
              <w:jc w:val="center"/>
              <w:rPr>
                <w:color w:val="FFFFFF" w:themeColor="background1"/>
              </w:rPr>
            </w:pPr>
            <w:r>
              <w:rPr>
                <w:color w:val="FFFFFF" w:themeColor="background1"/>
              </w:rPr>
              <w:t>Assumption</w:t>
            </w:r>
          </w:p>
        </w:tc>
        <w:tc>
          <w:tcPr>
            <w:tcW w:w="2093" w:type="dxa"/>
            <w:shd w:val="clear" w:color="auto" w:fill="7A766F" w:themeFill="accent5"/>
          </w:tcPr>
          <w:p w14:paraId="4F363256" w14:textId="60DD13BD" w:rsidR="004D0AA9" w:rsidRPr="0007440B" w:rsidRDefault="004D0AA9" w:rsidP="000A03F5">
            <w:pPr>
              <w:jc w:val="center"/>
              <w:rPr>
                <w:color w:val="FFFFFF" w:themeColor="background1"/>
              </w:rPr>
            </w:pPr>
            <w:r>
              <w:rPr>
                <w:color w:val="FFFFFF" w:themeColor="background1"/>
              </w:rPr>
              <w:t>Value</w:t>
            </w:r>
          </w:p>
        </w:tc>
        <w:tc>
          <w:tcPr>
            <w:tcW w:w="3119" w:type="dxa"/>
            <w:shd w:val="clear" w:color="auto" w:fill="7A766F" w:themeFill="accent5"/>
          </w:tcPr>
          <w:p w14:paraId="6D35DEC3" w14:textId="02296E8F" w:rsidR="004D0AA9" w:rsidRPr="0007440B" w:rsidRDefault="004D0AA9" w:rsidP="000A03F5">
            <w:pPr>
              <w:jc w:val="center"/>
              <w:rPr>
                <w:color w:val="FFFFFF" w:themeColor="background1"/>
              </w:rPr>
            </w:pPr>
            <w:r>
              <w:rPr>
                <w:color w:val="FFFFFF" w:themeColor="background1"/>
              </w:rPr>
              <w:t>Sensitivity</w:t>
            </w:r>
          </w:p>
        </w:tc>
      </w:tr>
      <w:tr w:rsidR="00EF0DCF" w14:paraId="12319D09" w14:textId="77777777" w:rsidTr="00EF0DCF">
        <w:tc>
          <w:tcPr>
            <w:tcW w:w="3005" w:type="dxa"/>
          </w:tcPr>
          <w:p w14:paraId="61E49392" w14:textId="199F864A" w:rsidR="00EF0DCF" w:rsidRDefault="00EF0DCF" w:rsidP="00EF0DCF">
            <w:r w:rsidRPr="00460241">
              <w:t>Signal availability rate</w:t>
            </w:r>
          </w:p>
        </w:tc>
        <w:tc>
          <w:tcPr>
            <w:tcW w:w="2093" w:type="dxa"/>
          </w:tcPr>
          <w:p w14:paraId="18FE4060" w14:textId="5B4D8E8D" w:rsidR="00EF0DCF" w:rsidRDefault="00EF0DCF" w:rsidP="00EF0DCF">
            <w:pPr>
              <w:jc w:val="right"/>
            </w:pPr>
            <w:r w:rsidRPr="00460241">
              <w:t>≥ 80%</w:t>
            </w:r>
          </w:p>
        </w:tc>
        <w:tc>
          <w:tcPr>
            <w:tcW w:w="3119" w:type="dxa"/>
          </w:tcPr>
          <w:p w14:paraId="6CF871C6" w14:textId="64A62D05" w:rsidR="00EF0DCF" w:rsidRDefault="00EF0DCF" w:rsidP="00EF0DCF">
            <w:pPr>
              <w:jc w:val="right"/>
            </w:pPr>
            <w:r w:rsidRPr="00460241">
              <w:t>±3 points per 10% variance</w:t>
            </w:r>
          </w:p>
        </w:tc>
      </w:tr>
      <w:tr w:rsidR="00EF0DCF" w14:paraId="2C0DA615" w14:textId="77777777" w:rsidTr="00EF0DCF">
        <w:tc>
          <w:tcPr>
            <w:tcW w:w="3005" w:type="dxa"/>
            <w:shd w:val="clear" w:color="auto" w:fill="E8E3DA" w:themeFill="background2"/>
          </w:tcPr>
          <w:p w14:paraId="14622F86" w14:textId="3CF1E388" w:rsidR="00EF0DCF" w:rsidRDefault="00EF0DCF" w:rsidP="00EF0DCF">
            <w:r w:rsidRPr="00460241">
              <w:t>Straight-through processing</w:t>
            </w:r>
          </w:p>
        </w:tc>
        <w:tc>
          <w:tcPr>
            <w:tcW w:w="2093" w:type="dxa"/>
            <w:shd w:val="clear" w:color="auto" w:fill="E8E3DA" w:themeFill="background2"/>
          </w:tcPr>
          <w:p w14:paraId="15C5E593" w14:textId="2EA6C0FE" w:rsidR="00EF0DCF" w:rsidRDefault="00EF0DCF" w:rsidP="00EF0DCF">
            <w:pPr>
              <w:jc w:val="right"/>
            </w:pPr>
            <w:r w:rsidRPr="00460241">
              <w:t>≥ 60%</w:t>
            </w:r>
          </w:p>
        </w:tc>
        <w:tc>
          <w:tcPr>
            <w:tcW w:w="3119" w:type="dxa"/>
            <w:shd w:val="clear" w:color="auto" w:fill="E8E3DA" w:themeFill="background2"/>
          </w:tcPr>
          <w:p w14:paraId="6404ED3A" w14:textId="07BF6ECC" w:rsidR="00EF0DCF" w:rsidRDefault="00EF0DCF" w:rsidP="00EF0DCF">
            <w:pPr>
              <w:jc w:val="right"/>
            </w:pPr>
            <w:r w:rsidRPr="00460241">
              <w:t>±2 points per 10% variance</w:t>
            </w:r>
          </w:p>
        </w:tc>
      </w:tr>
      <w:tr w:rsidR="00EF0DCF" w14:paraId="1E4244A0" w14:textId="77777777" w:rsidTr="00EF0DCF">
        <w:tc>
          <w:tcPr>
            <w:tcW w:w="3005" w:type="dxa"/>
          </w:tcPr>
          <w:p w14:paraId="22A94F91" w14:textId="6265F21C" w:rsidR="00EF0DCF" w:rsidRDefault="00EF0DCF" w:rsidP="00EF0DCF">
            <w:r w:rsidRPr="00460241">
              <w:t>Model calibration period</w:t>
            </w:r>
          </w:p>
        </w:tc>
        <w:tc>
          <w:tcPr>
            <w:tcW w:w="2093" w:type="dxa"/>
          </w:tcPr>
          <w:p w14:paraId="545E42A5" w14:textId="0E6D83BA" w:rsidR="00EF0DCF" w:rsidRDefault="00EF0DCF" w:rsidP="00EF0DCF">
            <w:pPr>
              <w:jc w:val="right"/>
            </w:pPr>
            <w:r w:rsidRPr="00460241">
              <w:t>12 months</w:t>
            </w:r>
          </w:p>
        </w:tc>
        <w:tc>
          <w:tcPr>
            <w:tcW w:w="3119" w:type="dxa"/>
          </w:tcPr>
          <w:p w14:paraId="3F2F8D08" w14:textId="6A875210" w:rsidR="00EF0DCF" w:rsidRDefault="00EF0DCF" w:rsidP="00EF0DCF">
            <w:pPr>
              <w:jc w:val="right"/>
            </w:pPr>
            <w:r w:rsidRPr="00460241">
              <w:t>N/A</w:t>
            </w:r>
          </w:p>
        </w:tc>
      </w:tr>
      <w:tr w:rsidR="00EF0DCF" w14:paraId="1A7839D7" w14:textId="77777777" w:rsidTr="00EF0DCF">
        <w:tc>
          <w:tcPr>
            <w:tcW w:w="3005" w:type="dxa"/>
            <w:shd w:val="clear" w:color="auto" w:fill="E8E3DA" w:themeFill="background2"/>
          </w:tcPr>
          <w:p w14:paraId="6F4F63FF" w14:textId="6F0C43BB" w:rsidR="00EF0DCF" w:rsidRDefault="00EF0DCF" w:rsidP="00EF0DCF">
            <w:r w:rsidRPr="00460241">
              <w:t>Loss correlation validation</w:t>
            </w:r>
          </w:p>
        </w:tc>
        <w:tc>
          <w:tcPr>
            <w:tcW w:w="2093" w:type="dxa"/>
            <w:shd w:val="clear" w:color="auto" w:fill="E8E3DA" w:themeFill="background2"/>
          </w:tcPr>
          <w:p w14:paraId="53BC1E7A" w14:textId="4956EC16" w:rsidR="00EF0DCF" w:rsidRDefault="00EF0DCF" w:rsidP="00EF0DCF">
            <w:pPr>
              <w:jc w:val="right"/>
            </w:pPr>
            <w:r w:rsidRPr="00460241">
              <w:t>24–36 months</w:t>
            </w:r>
          </w:p>
        </w:tc>
        <w:tc>
          <w:tcPr>
            <w:tcW w:w="3119" w:type="dxa"/>
            <w:shd w:val="clear" w:color="auto" w:fill="E8E3DA" w:themeFill="background2"/>
          </w:tcPr>
          <w:p w14:paraId="72EA1D70" w14:textId="28EFB1FA" w:rsidR="00EF0DCF" w:rsidRDefault="00EF0DCF" w:rsidP="00EF0DCF">
            <w:pPr>
              <w:jc w:val="right"/>
            </w:pPr>
            <w:r w:rsidRPr="00460241">
              <w:t>Deferred benefit</w:t>
            </w:r>
          </w:p>
        </w:tc>
      </w:tr>
    </w:tbl>
    <w:p w14:paraId="31C53856" w14:textId="39F6FB25" w:rsidR="002906A0" w:rsidRPr="002906A0" w:rsidRDefault="00EF0DCF" w:rsidP="002906A0">
      <w:r>
        <w:br/>
      </w:r>
      <w:r w:rsidR="00B2411B" w:rsidRPr="00B2411B">
        <w:t>All projections are subject to portfolio composition and market conditions.</w:t>
      </w:r>
    </w:p>
    <w:p w14:paraId="131BF113" w14:textId="77777777" w:rsidR="00CA70BB" w:rsidRDefault="00CA70BB" w:rsidP="00CA70BB">
      <w:pPr>
        <w:pStyle w:val="Heading1"/>
      </w:pPr>
      <w:r>
        <w:lastRenderedPageBreak/>
        <w:t>Design Boundaries</w:t>
      </w:r>
    </w:p>
    <w:p w14:paraId="31FC2CA3" w14:textId="77777777" w:rsidR="00CA70BB" w:rsidRDefault="00CA70BB" w:rsidP="00CA70BB">
      <w:r>
        <w:t>DSI is designed for broad applicability but operates within defined boundaries:</w:t>
      </w:r>
    </w:p>
    <w:p w14:paraId="3C9064EF" w14:textId="768E0EDF" w:rsidR="00CA70BB" w:rsidRDefault="00CA70BB" w:rsidP="000A579F">
      <w:pPr>
        <w:pStyle w:val="ListParagraph"/>
        <w:numPr>
          <w:ilvl w:val="0"/>
          <w:numId w:val="66"/>
        </w:numPr>
      </w:pPr>
      <w:r w:rsidRPr="000A579F">
        <w:rPr>
          <w:rFonts w:ascii="IBM Plex Sans SemiBold" w:hAnsi="IBM Plex Sans SemiBold"/>
        </w:rPr>
        <w:t>Digital Footprint Dependency</w:t>
      </w:r>
      <w:r w:rsidR="000A579F" w:rsidRPr="000A579F">
        <w:rPr>
          <w:rFonts w:ascii="IBM Plex Sans SemiBold" w:hAnsi="IBM Plex Sans SemiBold"/>
        </w:rPr>
        <w:t>.</w:t>
      </w:r>
      <w:r w:rsidR="000A579F" w:rsidRPr="000A579F">
        <w:rPr>
          <w:rFonts w:ascii="IBM Plex Sans SemiBold" w:hAnsi="IBM Plex Sans SemiBold"/>
        </w:rPr>
        <w:br/>
      </w:r>
      <w:r>
        <w:t>DSI requires entities to have a measurable digital presence. Risks with minimal digital footprint—small local businesses, individual artisans, entities operating primarily offline—may not generate sufficient signal density for automated assessment. These risks are better suited to traditional underwriting approaches.</w:t>
      </w:r>
    </w:p>
    <w:p w14:paraId="797343B8" w14:textId="42DD7AC5" w:rsidR="00CA70BB" w:rsidRDefault="00CA70BB" w:rsidP="000A579F">
      <w:pPr>
        <w:pStyle w:val="ListParagraph"/>
        <w:numPr>
          <w:ilvl w:val="0"/>
          <w:numId w:val="66"/>
        </w:numPr>
      </w:pPr>
      <w:r w:rsidRPr="000A579F">
        <w:rPr>
          <w:rFonts w:ascii="IBM Plex Sans SemiBold" w:hAnsi="IBM Plex Sans SemiBold"/>
        </w:rPr>
        <w:t>Calibration Requirements</w:t>
      </w:r>
      <w:r w:rsidR="000A579F" w:rsidRPr="000A579F">
        <w:rPr>
          <w:rFonts w:ascii="IBM Plex Sans SemiBold" w:hAnsi="IBM Plex Sans SemiBold"/>
        </w:rPr>
        <w:t>.</w:t>
      </w:r>
      <w:r w:rsidR="000A579F" w:rsidRPr="000A579F">
        <w:rPr>
          <w:rFonts w:ascii="IBM Plex Sans SemiBold" w:hAnsi="IBM Plex Sans SemiBold"/>
        </w:rPr>
        <w:br/>
      </w:r>
      <w:r>
        <w:t>Initial model weights are based on actuarial judgment and industry analysis. Full loss-correlation calibration requires 24-36 months of loss emergence data. The continuous tuning architecture enables rapid recalibration as loss data accumulates.</w:t>
      </w:r>
    </w:p>
    <w:p w14:paraId="6D4A3A7C" w14:textId="45BBB7D9" w:rsidR="00CA70BB" w:rsidRDefault="00CA70BB" w:rsidP="000A579F">
      <w:pPr>
        <w:pStyle w:val="ListParagraph"/>
        <w:numPr>
          <w:ilvl w:val="0"/>
          <w:numId w:val="66"/>
        </w:numPr>
      </w:pPr>
      <w:r w:rsidRPr="000A579F">
        <w:rPr>
          <w:rFonts w:ascii="IBM Plex Sans SemiBold" w:hAnsi="IBM Plex Sans SemiBold"/>
        </w:rPr>
        <w:t>Catastrophe and Systemic Risk</w:t>
      </w:r>
      <w:r w:rsidR="000A579F" w:rsidRPr="000A579F">
        <w:rPr>
          <w:rFonts w:ascii="IBM Plex Sans SemiBold" w:hAnsi="IBM Plex Sans SemiBold"/>
        </w:rPr>
        <w:t>.</w:t>
      </w:r>
      <w:r w:rsidR="000A579F" w:rsidRPr="000A579F">
        <w:rPr>
          <w:rFonts w:ascii="IBM Plex Sans SemiBold" w:hAnsi="IBM Plex Sans SemiBold"/>
        </w:rPr>
        <w:br/>
      </w:r>
      <w:r>
        <w:t>DSI assesses individual entity quality, not correlated exposure. Natural catastrophe, pandemic, and systemic financial risk require separate accumulation management. The Exposure Shadow Layer provides accumulation proxies, but catastrophe modelling remains a distinct discipline.</w:t>
      </w:r>
    </w:p>
    <w:p w14:paraId="532C9DF7" w14:textId="4D88E955" w:rsidR="00CA70BB" w:rsidRDefault="00CA70BB" w:rsidP="000A579F">
      <w:pPr>
        <w:pStyle w:val="ListParagraph"/>
        <w:numPr>
          <w:ilvl w:val="0"/>
          <w:numId w:val="66"/>
        </w:numPr>
      </w:pPr>
      <w:r w:rsidRPr="000A579F">
        <w:rPr>
          <w:rFonts w:ascii="IBM Plex Sans SemiBold" w:hAnsi="IBM Plex Sans SemiBold"/>
        </w:rPr>
        <w:t>Bespoke and Unique Risks</w:t>
      </w:r>
      <w:r w:rsidR="000A579F" w:rsidRPr="000A579F">
        <w:rPr>
          <w:rFonts w:ascii="IBM Plex Sans SemiBold" w:hAnsi="IBM Plex Sans SemiBold"/>
        </w:rPr>
        <w:t>.</w:t>
      </w:r>
      <w:r w:rsidR="000A579F" w:rsidRPr="000A579F">
        <w:rPr>
          <w:rFonts w:ascii="IBM Plex Sans SemiBold" w:hAnsi="IBM Plex Sans SemiBold"/>
        </w:rPr>
        <w:br/>
      </w:r>
      <w:r>
        <w:t>Highly customised programmes—one-off construction projects, unique assets, novel business models—may lack comparable signal patterns. Referral thresholds ensure novel risks receive human review.</w:t>
      </w:r>
    </w:p>
    <w:p w14:paraId="52741329" w14:textId="738F152F" w:rsidR="00F51085" w:rsidRDefault="00F51085" w:rsidP="00C96B1B">
      <w:pPr>
        <w:pStyle w:val="Heading1"/>
      </w:pPr>
      <w:r>
        <w:t>Conclusion</w:t>
      </w:r>
    </w:p>
    <w:p w14:paraId="4D570081" w14:textId="77777777" w:rsidR="00D56EDE" w:rsidRDefault="007D1D92" w:rsidP="007D1D92">
      <w:r>
        <w:t>Digital Signal Intelligence replaces the traditional, self‑reported information substrate of insurance with externally observable, machine‑readable signals. This enables</w:t>
      </w:r>
      <w:r w:rsidR="00D56EDE">
        <w:t>:</w:t>
      </w:r>
    </w:p>
    <w:p w14:paraId="349E8351" w14:textId="4F5CDF75" w:rsidR="00843C5A" w:rsidRDefault="00843C5A" w:rsidP="00843C5A">
      <w:pPr>
        <w:pStyle w:val="ListParagraph"/>
        <w:numPr>
          <w:ilvl w:val="0"/>
          <w:numId w:val="60"/>
        </w:numPr>
      </w:pPr>
      <w:r>
        <w:t>Deterministic scoring without subjective interpretation</w:t>
      </w:r>
    </w:p>
    <w:p w14:paraId="402080C9" w14:textId="2CC54C2F" w:rsidR="00843C5A" w:rsidRDefault="00843C5A" w:rsidP="00843C5A">
      <w:pPr>
        <w:pStyle w:val="ListParagraph"/>
        <w:numPr>
          <w:ilvl w:val="0"/>
          <w:numId w:val="60"/>
        </w:numPr>
      </w:pPr>
      <w:r>
        <w:t>Autonomous underwriting at scale</w:t>
      </w:r>
    </w:p>
    <w:p w14:paraId="39F96800" w14:textId="64CE5626" w:rsidR="00843C5A" w:rsidRDefault="00843C5A" w:rsidP="00843C5A">
      <w:pPr>
        <w:pStyle w:val="ListParagraph"/>
        <w:numPr>
          <w:ilvl w:val="0"/>
          <w:numId w:val="60"/>
        </w:numPr>
      </w:pPr>
      <w:r>
        <w:t>Exposure estimation without self-reported schedules</w:t>
      </w:r>
    </w:p>
    <w:p w14:paraId="30179EB1" w14:textId="5B47DF78" w:rsidR="00843C5A" w:rsidRDefault="00843C5A" w:rsidP="00843C5A">
      <w:pPr>
        <w:pStyle w:val="ListParagraph"/>
        <w:numPr>
          <w:ilvl w:val="0"/>
          <w:numId w:val="60"/>
        </w:numPr>
      </w:pPr>
      <w:r>
        <w:t>Loss pattern inference from behavioural signals</w:t>
      </w:r>
    </w:p>
    <w:p w14:paraId="152FCC36" w14:textId="25F720E0" w:rsidR="00843C5A" w:rsidRDefault="00843C5A" w:rsidP="00843C5A">
      <w:pPr>
        <w:pStyle w:val="ListParagraph"/>
        <w:numPr>
          <w:ilvl w:val="0"/>
          <w:numId w:val="60"/>
        </w:numPr>
      </w:pPr>
      <w:r>
        <w:t>Continuous monitoring and early deterioration detection</w:t>
      </w:r>
    </w:p>
    <w:p w14:paraId="5AA651CB" w14:textId="77777777" w:rsidR="00843C5A" w:rsidRDefault="00843C5A" w:rsidP="00843C5A">
      <w:pPr>
        <w:pStyle w:val="ListParagraph"/>
        <w:numPr>
          <w:ilvl w:val="0"/>
          <w:numId w:val="60"/>
        </w:numPr>
      </w:pPr>
      <w:r>
        <w:t>Global scalability without linear headcount growth</w:t>
      </w:r>
    </w:p>
    <w:p w14:paraId="6A19BB24" w14:textId="0F16040E" w:rsidR="007D1D92" w:rsidRDefault="007D1D92" w:rsidP="00843C5A">
      <w:r>
        <w:t>Insurers are publicly committing to reducing operational complexity and headcount.</w:t>
      </w:r>
      <w:r w:rsidR="001B4E35">
        <w:t xml:space="preserve"> </w:t>
      </w:r>
      <w:r w:rsidR="00D917D4" w:rsidRPr="00D917D4">
        <w:t>However, no traditional underwriting model can achieve this at scale. The bottleneck is the information substrate itself.</w:t>
      </w:r>
    </w:p>
    <w:p w14:paraId="645407F6" w14:textId="2E6FC485" w:rsidR="000C3D4B" w:rsidRDefault="00D917D4" w:rsidP="007C1138">
      <w:pPr>
        <w:pStyle w:val="Callout"/>
      </w:pPr>
      <w:r w:rsidRPr="00D917D4">
        <w:t>DSI is a structural replacement for the information substrate of underwriting, providing a viable path to radical operational efficiency and increased profitability.</w:t>
      </w:r>
    </w:p>
    <w:p w14:paraId="60175A1D" w14:textId="729FBC47" w:rsidR="00804369" w:rsidRDefault="000C3D4B" w:rsidP="000C3D4B">
      <w:r>
        <w:t>As digital signals expand and calibration datasets grow, DSI becomes not only a new methodology for underwriting, but the foundation upon which the next generation of insurance carriers will be built.</w:t>
      </w:r>
    </w:p>
    <w:p w14:paraId="24E69C0D" w14:textId="77777777" w:rsidR="00804369" w:rsidRDefault="00804369">
      <w:r>
        <w:br w:type="page"/>
      </w:r>
    </w:p>
    <w:p w14:paraId="5DB61ED9" w14:textId="7B711D82" w:rsidR="002972AA" w:rsidRDefault="00804369" w:rsidP="00804369">
      <w:pPr>
        <w:pStyle w:val="Heading1"/>
      </w:pPr>
      <w:r>
        <w:lastRenderedPageBreak/>
        <w:t>Appendix</w:t>
      </w:r>
    </w:p>
    <w:p w14:paraId="16B0052D" w14:textId="77777777" w:rsidR="00E0253F" w:rsidRDefault="00E0253F" w:rsidP="003E4326">
      <w:pPr>
        <w:pStyle w:val="Heading2"/>
      </w:pPr>
      <w:r>
        <w:t>Key Terminology</w:t>
      </w:r>
    </w:p>
    <w:p w14:paraId="79C34D16" w14:textId="77777777" w:rsidR="00E0253F" w:rsidRDefault="00E0253F" w:rsidP="00E0253F">
      <w:pPr>
        <w:pStyle w:val="ListParagraph"/>
        <w:numPr>
          <w:ilvl w:val="0"/>
          <w:numId w:val="49"/>
        </w:numPr>
      </w:pPr>
      <w:r w:rsidRPr="00FF142A">
        <w:rPr>
          <w:rFonts w:ascii="IBM Plex Sans SemiBold" w:hAnsi="IBM Plex Sans SemiBold"/>
        </w:rPr>
        <w:t>Coverage.</w:t>
      </w:r>
      <w:r>
        <w:t xml:space="preserve"> </w:t>
      </w:r>
      <w:r>
        <w:br/>
        <w:t>A coverage is a defined insurance product (e.g., Cyber, D&amp;O, Marine Hull). Each coverage contains one or more configurations.</w:t>
      </w:r>
    </w:p>
    <w:p w14:paraId="5471389B" w14:textId="77777777" w:rsidR="00E0253F" w:rsidRDefault="00E0253F" w:rsidP="00E0253F">
      <w:pPr>
        <w:pStyle w:val="ListParagraph"/>
        <w:numPr>
          <w:ilvl w:val="0"/>
          <w:numId w:val="49"/>
        </w:numPr>
      </w:pPr>
      <w:r w:rsidRPr="00FF142A">
        <w:rPr>
          <w:rFonts w:ascii="IBM Plex Sans SemiBold" w:hAnsi="IBM Plex Sans SemiBold"/>
        </w:rPr>
        <w:t xml:space="preserve">Configuration. </w:t>
      </w:r>
      <w:r w:rsidRPr="00FF142A">
        <w:rPr>
          <w:rFonts w:ascii="IBM Plex Sans SemiBold" w:hAnsi="IBM Plex Sans SemiBold"/>
        </w:rPr>
        <w:br/>
      </w:r>
      <w:r>
        <w:t>A configuration is the complete specification of a model for a given coverage. It defines: the signals used, the scoring algorithms, the weightings, the tier thresholds, the pricing logic, the decision rules. A configuration is the single source of truth for how a model operates.</w:t>
      </w:r>
    </w:p>
    <w:p w14:paraId="169576A4" w14:textId="77777777" w:rsidR="00E0253F" w:rsidRDefault="00E0253F" w:rsidP="00E0253F">
      <w:pPr>
        <w:pStyle w:val="ListParagraph"/>
        <w:numPr>
          <w:ilvl w:val="0"/>
          <w:numId w:val="49"/>
        </w:numPr>
      </w:pPr>
      <w:r w:rsidRPr="00FF142A">
        <w:rPr>
          <w:rFonts w:ascii="IBM Plex Sans SemiBold" w:hAnsi="IBM Plex Sans SemiBold"/>
        </w:rPr>
        <w:t xml:space="preserve">Model Cycle. </w:t>
      </w:r>
      <w:r w:rsidRPr="00FF142A">
        <w:rPr>
          <w:rFonts w:ascii="IBM Plex Sans SemiBold" w:hAnsi="IBM Plex Sans SemiBold"/>
        </w:rPr>
        <w:br/>
      </w:r>
      <w:r>
        <w:t>A model cycle is a complete execution of a configuration against a submission. Each cycle produces: a full signal extraction, a composite score, a risk tier, (optionally) an exposure band and complexity category, a pricing output, a decision. Every cycle is persisted as a Model Version, ensuring full auditability.</w:t>
      </w:r>
    </w:p>
    <w:p w14:paraId="7EF52D5E" w14:textId="77777777" w:rsidR="00E0253F" w:rsidRDefault="00E0253F" w:rsidP="00E0253F">
      <w:pPr>
        <w:pStyle w:val="ListParagraph"/>
        <w:numPr>
          <w:ilvl w:val="0"/>
          <w:numId w:val="49"/>
        </w:numPr>
      </w:pPr>
      <w:r w:rsidRPr="00FF142A">
        <w:rPr>
          <w:rFonts w:ascii="IBM Plex Sans SemiBold" w:hAnsi="IBM Plex Sans SemiBold"/>
        </w:rPr>
        <w:t xml:space="preserve">Signal. </w:t>
      </w:r>
      <w:r w:rsidRPr="00FF142A">
        <w:rPr>
          <w:rFonts w:ascii="IBM Plex Sans SemiBold" w:hAnsi="IBM Plex Sans SemiBold"/>
        </w:rPr>
        <w:br/>
      </w:r>
      <w:r>
        <w:t>A measurable, externally observable data point used in scoring. Signals are normalised to a 0–100 scale.</w:t>
      </w:r>
    </w:p>
    <w:p w14:paraId="1EDA6D68" w14:textId="77777777" w:rsidR="00E0253F" w:rsidRDefault="00E0253F" w:rsidP="00E0253F">
      <w:pPr>
        <w:pStyle w:val="ListParagraph"/>
        <w:numPr>
          <w:ilvl w:val="0"/>
          <w:numId w:val="49"/>
        </w:numPr>
      </w:pPr>
      <w:r w:rsidRPr="00FF142A">
        <w:rPr>
          <w:rFonts w:ascii="IBM Plex Sans SemiBold" w:hAnsi="IBM Plex Sans SemiBold"/>
        </w:rPr>
        <w:t xml:space="preserve">Composite Score. </w:t>
      </w:r>
      <w:r w:rsidRPr="00FF142A">
        <w:rPr>
          <w:rFonts w:ascii="IBM Plex Sans SemiBold" w:hAnsi="IBM Plex Sans SemiBold"/>
        </w:rPr>
        <w:br/>
      </w:r>
      <w:r>
        <w:t>A weighted aggregation of signals normalised to a 0–1000 scale. Composite scores map directly to risk tiers.</w:t>
      </w:r>
    </w:p>
    <w:p w14:paraId="3CA3E4CE" w14:textId="77777777" w:rsidR="00E0253F" w:rsidRDefault="00E0253F" w:rsidP="00E0253F">
      <w:pPr>
        <w:pStyle w:val="ListParagraph"/>
        <w:numPr>
          <w:ilvl w:val="0"/>
          <w:numId w:val="49"/>
        </w:numPr>
      </w:pPr>
      <w:r w:rsidRPr="00FF142A">
        <w:rPr>
          <w:rFonts w:ascii="IBM Plex Sans SemiBold" w:hAnsi="IBM Plex Sans SemiBold"/>
        </w:rPr>
        <w:t xml:space="preserve">Risk Tier. </w:t>
      </w:r>
      <w:r w:rsidRPr="00FF142A">
        <w:rPr>
          <w:rFonts w:ascii="IBM Plex Sans SemiBold" w:hAnsi="IBM Plex Sans SemiBold"/>
        </w:rPr>
        <w:br/>
      </w:r>
      <w:r>
        <w:t>A discrete classification (</w:t>
      </w:r>
      <w:r w:rsidRPr="005521AE">
        <w:t>typically Tier 1–5</w:t>
      </w:r>
      <w:r>
        <w:t>) representing risk quality. Tiers drive pricing and decision logic.</w:t>
      </w:r>
    </w:p>
    <w:p w14:paraId="768D8B40" w14:textId="77777777" w:rsidR="00E0253F" w:rsidRDefault="00E0253F" w:rsidP="00E0253F">
      <w:pPr>
        <w:pStyle w:val="ListParagraph"/>
        <w:numPr>
          <w:ilvl w:val="0"/>
          <w:numId w:val="49"/>
        </w:numPr>
      </w:pPr>
      <w:r w:rsidRPr="00FF142A">
        <w:rPr>
          <w:rFonts w:ascii="IBM Plex Sans SemiBold" w:hAnsi="IBM Plex Sans SemiBold"/>
        </w:rPr>
        <w:t xml:space="preserve">Exposure Band. </w:t>
      </w:r>
      <w:r w:rsidRPr="00FF142A">
        <w:rPr>
          <w:rFonts w:ascii="IBM Plex Sans SemiBold" w:hAnsi="IBM Plex Sans SemiBold"/>
        </w:rPr>
        <w:br/>
      </w:r>
      <w:r>
        <w:t>A classification of exposure magnitude (micro → very large), inferred from observable signals.</w:t>
      </w:r>
    </w:p>
    <w:p w14:paraId="2F23FCFA" w14:textId="77777777" w:rsidR="00E0253F" w:rsidRDefault="00E0253F" w:rsidP="00E0253F">
      <w:pPr>
        <w:pStyle w:val="ListParagraph"/>
        <w:numPr>
          <w:ilvl w:val="0"/>
          <w:numId w:val="49"/>
        </w:numPr>
      </w:pPr>
      <w:r w:rsidRPr="00FF142A">
        <w:rPr>
          <w:rFonts w:ascii="IBM Plex Sans SemiBold" w:hAnsi="IBM Plex Sans SemiBold"/>
        </w:rPr>
        <w:t>Complexity Category.</w:t>
      </w:r>
      <w:r>
        <w:t xml:space="preserve"> </w:t>
      </w:r>
      <w:r>
        <w:br/>
        <w:t>A classification of exposure complexity (simple → highly complex), inferred from observable signals.</w:t>
      </w:r>
    </w:p>
    <w:p w14:paraId="12ACDDDC" w14:textId="77777777" w:rsidR="00E0253F" w:rsidRDefault="00E0253F" w:rsidP="00E0253F">
      <w:pPr>
        <w:pStyle w:val="ListParagraph"/>
        <w:numPr>
          <w:ilvl w:val="0"/>
          <w:numId w:val="49"/>
        </w:numPr>
      </w:pPr>
      <w:r w:rsidRPr="00FF142A">
        <w:rPr>
          <w:rFonts w:ascii="IBM Plex Sans SemiBold" w:hAnsi="IBM Plex Sans SemiBold"/>
        </w:rPr>
        <w:t>Deterministic Adjustments.</w:t>
      </w:r>
      <w:r>
        <w:t xml:space="preserve"> </w:t>
      </w:r>
      <w:r>
        <w:br/>
      </w:r>
      <w:r w:rsidRPr="005C1735">
        <w:t>Explicit, rule‑based modifiers applied after tier assignment, defined in the configuration. No subjective adjustments are permitted.</w:t>
      </w:r>
    </w:p>
    <w:p w14:paraId="1E935EFE" w14:textId="77777777" w:rsidR="00E0253F" w:rsidRDefault="00E0253F" w:rsidP="00A251D6">
      <w:pPr>
        <w:pStyle w:val="Heading2"/>
      </w:pPr>
    </w:p>
    <w:sectPr w:rsidR="00E0253F" w:rsidSect="00026AC3">
      <w:headerReference w:type="default" r:id="rId10"/>
      <w:pgSz w:w="11906" w:h="16838"/>
      <w:pgMar w:top="1440" w:right="1440" w:bottom="1440" w:left="1440"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FD27" w14:textId="77777777" w:rsidR="00C52A0D" w:rsidRDefault="00C52A0D" w:rsidP="00026AC3">
      <w:pPr>
        <w:spacing w:after="0" w:line="240" w:lineRule="auto"/>
      </w:pPr>
      <w:r>
        <w:separator/>
      </w:r>
    </w:p>
  </w:endnote>
  <w:endnote w:type="continuationSeparator" w:id="0">
    <w:p w14:paraId="3BDE22AE" w14:textId="77777777" w:rsidR="00C52A0D" w:rsidRDefault="00C52A0D" w:rsidP="00026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IBM Plex Sans">
    <w:panose1 w:val="020B0503050203000203"/>
    <w:charset w:val="00"/>
    <w:family w:val="swiss"/>
    <w:pitch w:val="variable"/>
    <w:sig w:usb0="A00002EF" w:usb1="5000203B" w:usb2="00000000" w:usb3="00000000" w:csb0="0000019F" w:csb1="00000000"/>
  </w:font>
  <w:font w:name="Inter">
    <w:panose1 w:val="02000503000000020004"/>
    <w:charset w:val="00"/>
    <w:family w:val="auto"/>
    <w:pitch w:val="variable"/>
    <w:sig w:usb0="E00002FF" w:usb1="1200A1FF" w:usb2="00000000" w:usb3="00000000" w:csb0="0000019F" w:csb1="00000000"/>
  </w:font>
  <w:font w:name="Inter ExtraBold">
    <w:panose1 w:val="02000503000000020004"/>
    <w:charset w:val="00"/>
    <w:family w:val="auto"/>
    <w:pitch w:val="variable"/>
    <w:sig w:usb0="E00002FF" w:usb1="1200A1FF" w:usb2="00000000" w:usb3="00000000" w:csb0="0000019F" w:csb1="00000000"/>
  </w:font>
  <w:font w:name="IBM Plex Sans SemiBold">
    <w:panose1 w:val="020B0503050203000203"/>
    <w:charset w:val="00"/>
    <w:family w:val="swiss"/>
    <w:pitch w:val="variable"/>
    <w:sig w:usb0="A00002EF" w:usb1="5000203B" w:usb2="00000000" w:usb3="00000000" w:csb0="0000019F" w:csb1="00000000"/>
  </w:font>
  <w:font w:name="IBM Plex Sans Light">
    <w:panose1 w:val="020B0503050203000203"/>
    <w:charset w:val="00"/>
    <w:family w:val="swiss"/>
    <w:pitch w:val="variable"/>
    <w:sig w:usb0="A00002EF" w:usb1="5000203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IBM Plex Sans Medium">
    <w:panose1 w:val="020B0503050203000203"/>
    <w:charset w:val="00"/>
    <w:family w:val="swiss"/>
    <w:pitch w:val="variable"/>
    <w:sig w:usb0="A00002EF" w:usb1="5000203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7273D" w14:textId="77777777" w:rsidR="00C52A0D" w:rsidRDefault="00C52A0D" w:rsidP="00026AC3">
      <w:pPr>
        <w:spacing w:after="0" w:line="240" w:lineRule="auto"/>
      </w:pPr>
      <w:r>
        <w:separator/>
      </w:r>
    </w:p>
  </w:footnote>
  <w:footnote w:type="continuationSeparator" w:id="0">
    <w:p w14:paraId="288281DD" w14:textId="77777777" w:rsidR="00C52A0D" w:rsidRDefault="00C52A0D" w:rsidP="00026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7CDB1" w14:textId="7B3BBAEB" w:rsidR="00026AC3" w:rsidRDefault="00026AC3" w:rsidP="00026AC3">
    <w:pPr>
      <w:pStyle w:val="Header"/>
      <w:jc w:val="right"/>
    </w:pPr>
    <w:r>
      <w:rPr>
        <w:noProof/>
      </w:rPr>
      <w:drawing>
        <wp:inline distT="0" distB="0" distL="0" distR="0" wp14:anchorId="3D7EC4A1" wp14:editId="46B4659E">
          <wp:extent cx="1265555" cy="393261"/>
          <wp:effectExtent l="0" t="0" r="0" b="6985"/>
          <wp:docPr id="202643914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39142"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7866" t="35785" r="5495" b="37293"/>
                  <a:stretch>
                    <a:fillRect/>
                  </a:stretch>
                </pic:blipFill>
                <pic:spPr bwMode="auto">
                  <a:xfrm>
                    <a:off x="0" y="0"/>
                    <a:ext cx="1298563" cy="403518"/>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C6C"/>
    <w:multiLevelType w:val="hybridMultilevel"/>
    <w:tmpl w:val="5064A3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C908C0"/>
    <w:multiLevelType w:val="hybridMultilevel"/>
    <w:tmpl w:val="9B1ABF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CC6DDD"/>
    <w:multiLevelType w:val="hybridMultilevel"/>
    <w:tmpl w:val="A35C8948"/>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C473E1F"/>
    <w:multiLevelType w:val="hybridMultilevel"/>
    <w:tmpl w:val="F82C4510"/>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DF648E1"/>
    <w:multiLevelType w:val="hybridMultilevel"/>
    <w:tmpl w:val="665414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E26030A"/>
    <w:multiLevelType w:val="hybridMultilevel"/>
    <w:tmpl w:val="79B0F54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F961CF9"/>
    <w:multiLevelType w:val="hybridMultilevel"/>
    <w:tmpl w:val="5D0025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0A4234F"/>
    <w:multiLevelType w:val="hybridMultilevel"/>
    <w:tmpl w:val="74882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26150CC"/>
    <w:multiLevelType w:val="hybridMultilevel"/>
    <w:tmpl w:val="EB62C180"/>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2736BA5"/>
    <w:multiLevelType w:val="hybridMultilevel"/>
    <w:tmpl w:val="EBDE5F3C"/>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3567429"/>
    <w:multiLevelType w:val="hybridMultilevel"/>
    <w:tmpl w:val="3F4E05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16457942"/>
    <w:multiLevelType w:val="hybridMultilevel"/>
    <w:tmpl w:val="53425D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93378D9"/>
    <w:multiLevelType w:val="hybridMultilevel"/>
    <w:tmpl w:val="F6B050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B1A6077"/>
    <w:multiLevelType w:val="hybridMultilevel"/>
    <w:tmpl w:val="EF7617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1BC3324F"/>
    <w:multiLevelType w:val="hybridMultilevel"/>
    <w:tmpl w:val="B4A0E1F2"/>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D074D1C"/>
    <w:multiLevelType w:val="hybridMultilevel"/>
    <w:tmpl w:val="C64A8B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DC12FFD"/>
    <w:multiLevelType w:val="hybridMultilevel"/>
    <w:tmpl w:val="8AA2E3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1DF4597F"/>
    <w:multiLevelType w:val="hybridMultilevel"/>
    <w:tmpl w:val="4D7019A8"/>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FD13AAC"/>
    <w:multiLevelType w:val="hybridMultilevel"/>
    <w:tmpl w:val="0C80E6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0016DB2"/>
    <w:multiLevelType w:val="hybridMultilevel"/>
    <w:tmpl w:val="26B66B38"/>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0CE2565"/>
    <w:multiLevelType w:val="hybridMultilevel"/>
    <w:tmpl w:val="7DEE8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22DC07D1"/>
    <w:multiLevelType w:val="hybridMultilevel"/>
    <w:tmpl w:val="1060B3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25137362"/>
    <w:multiLevelType w:val="hybridMultilevel"/>
    <w:tmpl w:val="AC98F1F8"/>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2B3660D8"/>
    <w:multiLevelType w:val="hybridMultilevel"/>
    <w:tmpl w:val="2F0C553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2DC63E41"/>
    <w:multiLevelType w:val="hybridMultilevel"/>
    <w:tmpl w:val="E8EE822E"/>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2E936E70"/>
    <w:multiLevelType w:val="hybridMultilevel"/>
    <w:tmpl w:val="0D3615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33FA3E28"/>
    <w:multiLevelType w:val="hybridMultilevel"/>
    <w:tmpl w:val="701AF2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3452693A"/>
    <w:multiLevelType w:val="hybridMultilevel"/>
    <w:tmpl w:val="6F2C896E"/>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36284E39"/>
    <w:multiLevelType w:val="hybridMultilevel"/>
    <w:tmpl w:val="CFBE24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38D9132E"/>
    <w:multiLevelType w:val="hybridMultilevel"/>
    <w:tmpl w:val="DCAEA9A8"/>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39385CE5"/>
    <w:multiLevelType w:val="hybridMultilevel"/>
    <w:tmpl w:val="0720B67C"/>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39C73542"/>
    <w:multiLevelType w:val="hybridMultilevel"/>
    <w:tmpl w:val="F1167F16"/>
    <w:lvl w:ilvl="0" w:tplc="267A5DEC">
      <w:start w:val="1"/>
      <w:numFmt w:val="bullet"/>
      <w:lvlText w:val="-"/>
      <w:lvlJc w:val="left"/>
      <w:pPr>
        <w:ind w:left="360" w:hanging="360"/>
      </w:pPr>
      <w:rPr>
        <w:rFonts w:ascii="Calibri Light" w:hAnsi="Calibri Light"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3DA806E6"/>
    <w:multiLevelType w:val="hybridMultilevel"/>
    <w:tmpl w:val="A8D0A6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3E2E3A99"/>
    <w:multiLevelType w:val="hybridMultilevel"/>
    <w:tmpl w:val="6262C5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3E6F706B"/>
    <w:multiLevelType w:val="hybridMultilevel"/>
    <w:tmpl w:val="EB7A34D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4012272A"/>
    <w:multiLevelType w:val="hybridMultilevel"/>
    <w:tmpl w:val="7736C1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43292BC3"/>
    <w:multiLevelType w:val="hybridMultilevel"/>
    <w:tmpl w:val="477E36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43BA7520"/>
    <w:multiLevelType w:val="hybridMultilevel"/>
    <w:tmpl w:val="33603654"/>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44176A12"/>
    <w:multiLevelType w:val="hybridMultilevel"/>
    <w:tmpl w:val="AADAE670"/>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461D7D10"/>
    <w:multiLevelType w:val="hybridMultilevel"/>
    <w:tmpl w:val="26726DFA"/>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46ED22DA"/>
    <w:multiLevelType w:val="hybridMultilevel"/>
    <w:tmpl w:val="5964E1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470834EC"/>
    <w:multiLevelType w:val="hybridMultilevel"/>
    <w:tmpl w:val="0122C6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48E671D8"/>
    <w:multiLevelType w:val="hybridMultilevel"/>
    <w:tmpl w:val="987AE584"/>
    <w:lvl w:ilvl="0" w:tplc="267A5DEC">
      <w:start w:val="1"/>
      <w:numFmt w:val="bullet"/>
      <w:lvlText w:val="-"/>
      <w:lvlJc w:val="left"/>
      <w:pPr>
        <w:ind w:left="360" w:hanging="360"/>
      </w:pPr>
      <w:rPr>
        <w:rFonts w:ascii="Calibri Light" w:hAnsi="Calibri Light"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49365D69"/>
    <w:multiLevelType w:val="hybridMultilevel"/>
    <w:tmpl w:val="82E89C74"/>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4ACD4EF7"/>
    <w:multiLevelType w:val="hybridMultilevel"/>
    <w:tmpl w:val="2092D17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4B1822F8"/>
    <w:multiLevelType w:val="hybridMultilevel"/>
    <w:tmpl w:val="68DC40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4BF82523"/>
    <w:multiLevelType w:val="hybridMultilevel"/>
    <w:tmpl w:val="B37C19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4C8971D2"/>
    <w:multiLevelType w:val="hybridMultilevel"/>
    <w:tmpl w:val="B0289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4CF342BC"/>
    <w:multiLevelType w:val="hybridMultilevel"/>
    <w:tmpl w:val="BD10A1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4D782D8B"/>
    <w:multiLevelType w:val="hybridMultilevel"/>
    <w:tmpl w:val="B43E48A8"/>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4DCB2B93"/>
    <w:multiLevelType w:val="hybridMultilevel"/>
    <w:tmpl w:val="C7BE43C2"/>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4EC51F98"/>
    <w:multiLevelType w:val="hybridMultilevel"/>
    <w:tmpl w:val="AC943E74"/>
    <w:lvl w:ilvl="0" w:tplc="267A5DEC">
      <w:start w:val="1"/>
      <w:numFmt w:val="bullet"/>
      <w:lvlText w:val="-"/>
      <w:lvlJc w:val="left"/>
      <w:pPr>
        <w:ind w:left="360" w:hanging="360"/>
      </w:pPr>
      <w:rPr>
        <w:rFonts w:ascii="Calibri Light" w:hAnsi="Calibri Light"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4F8030B3"/>
    <w:multiLevelType w:val="hybridMultilevel"/>
    <w:tmpl w:val="206C3A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3" w15:restartNumberingAfterBreak="0">
    <w:nsid w:val="522761F2"/>
    <w:multiLevelType w:val="hybridMultilevel"/>
    <w:tmpl w:val="881E86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536D4FF2"/>
    <w:multiLevelType w:val="hybridMultilevel"/>
    <w:tmpl w:val="603074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5" w15:restartNumberingAfterBreak="0">
    <w:nsid w:val="54503FC1"/>
    <w:multiLevelType w:val="hybridMultilevel"/>
    <w:tmpl w:val="09CC2E1A"/>
    <w:lvl w:ilvl="0" w:tplc="267A5DEC">
      <w:start w:val="1"/>
      <w:numFmt w:val="bullet"/>
      <w:lvlText w:val="-"/>
      <w:lvlJc w:val="left"/>
      <w:pPr>
        <w:ind w:left="720" w:hanging="360"/>
      </w:pPr>
      <w:rPr>
        <w:rFonts w:ascii="Calibri Light" w:hAnsi="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545A3A93"/>
    <w:multiLevelType w:val="hybridMultilevel"/>
    <w:tmpl w:val="94F4D3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56293878"/>
    <w:multiLevelType w:val="hybridMultilevel"/>
    <w:tmpl w:val="2A28CE9C"/>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56887A9C"/>
    <w:multiLevelType w:val="hybridMultilevel"/>
    <w:tmpl w:val="488CA3F8"/>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57B63319"/>
    <w:multiLevelType w:val="hybridMultilevel"/>
    <w:tmpl w:val="3126039A"/>
    <w:lvl w:ilvl="0" w:tplc="267A5DEC">
      <w:start w:val="1"/>
      <w:numFmt w:val="bullet"/>
      <w:lvlText w:val="-"/>
      <w:lvlJc w:val="left"/>
      <w:pPr>
        <w:ind w:left="360" w:hanging="360"/>
      </w:pPr>
      <w:rPr>
        <w:rFonts w:ascii="Calibri Light" w:hAnsi="Calibri Light"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592D6304"/>
    <w:multiLevelType w:val="hybridMultilevel"/>
    <w:tmpl w:val="BC5E05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5D31605B"/>
    <w:multiLevelType w:val="hybridMultilevel"/>
    <w:tmpl w:val="7738FA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2" w15:restartNumberingAfterBreak="0">
    <w:nsid w:val="5D7C2041"/>
    <w:multiLevelType w:val="hybridMultilevel"/>
    <w:tmpl w:val="37F2AAFA"/>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3" w15:restartNumberingAfterBreak="0">
    <w:nsid w:val="63493257"/>
    <w:multiLevelType w:val="hybridMultilevel"/>
    <w:tmpl w:val="BCAA79C6"/>
    <w:lvl w:ilvl="0" w:tplc="267A5DEC">
      <w:start w:val="1"/>
      <w:numFmt w:val="bullet"/>
      <w:lvlText w:val="-"/>
      <w:lvlJc w:val="left"/>
      <w:pPr>
        <w:ind w:left="360" w:hanging="360"/>
      </w:pPr>
      <w:rPr>
        <w:rFonts w:ascii="Calibri Light" w:hAnsi="Calibri Light"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649160F0"/>
    <w:multiLevelType w:val="hybridMultilevel"/>
    <w:tmpl w:val="3DBE2F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66481D6B"/>
    <w:multiLevelType w:val="hybridMultilevel"/>
    <w:tmpl w:val="A866D8FA"/>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6" w15:restartNumberingAfterBreak="0">
    <w:nsid w:val="67D70152"/>
    <w:multiLevelType w:val="hybridMultilevel"/>
    <w:tmpl w:val="C44ABC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15:restartNumberingAfterBreak="0">
    <w:nsid w:val="68277D8B"/>
    <w:multiLevelType w:val="hybridMultilevel"/>
    <w:tmpl w:val="3E6622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6AE518E1"/>
    <w:multiLevelType w:val="hybridMultilevel"/>
    <w:tmpl w:val="288608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9" w15:restartNumberingAfterBreak="0">
    <w:nsid w:val="6CC807F9"/>
    <w:multiLevelType w:val="hybridMultilevel"/>
    <w:tmpl w:val="1E502D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0" w15:restartNumberingAfterBreak="0">
    <w:nsid w:val="6DCC7884"/>
    <w:multiLevelType w:val="hybridMultilevel"/>
    <w:tmpl w:val="854AE7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1" w15:restartNumberingAfterBreak="0">
    <w:nsid w:val="70110ECA"/>
    <w:multiLevelType w:val="hybridMultilevel"/>
    <w:tmpl w:val="0A1655D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72CA7624"/>
    <w:multiLevelType w:val="hybridMultilevel"/>
    <w:tmpl w:val="362812AA"/>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75D007A8"/>
    <w:multiLevelType w:val="hybridMultilevel"/>
    <w:tmpl w:val="6D0A7A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4" w15:restartNumberingAfterBreak="0">
    <w:nsid w:val="763A7340"/>
    <w:multiLevelType w:val="hybridMultilevel"/>
    <w:tmpl w:val="7DBAD4F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5" w15:restartNumberingAfterBreak="0">
    <w:nsid w:val="78F40B4B"/>
    <w:multiLevelType w:val="hybridMultilevel"/>
    <w:tmpl w:val="018811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6" w15:restartNumberingAfterBreak="0">
    <w:nsid w:val="7E166120"/>
    <w:multiLevelType w:val="hybridMultilevel"/>
    <w:tmpl w:val="BC70AD42"/>
    <w:lvl w:ilvl="0" w:tplc="267A5DEC">
      <w:start w:val="1"/>
      <w:numFmt w:val="bullet"/>
      <w:lvlText w:val="-"/>
      <w:lvlJc w:val="left"/>
      <w:pPr>
        <w:ind w:left="360" w:hanging="360"/>
      </w:pPr>
      <w:rPr>
        <w:rFonts w:ascii="Calibri Light" w:hAnsi="Calibri Light"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15:restartNumberingAfterBreak="0">
    <w:nsid w:val="7EC072E6"/>
    <w:multiLevelType w:val="hybridMultilevel"/>
    <w:tmpl w:val="50AEA8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7F262E9E"/>
    <w:multiLevelType w:val="hybridMultilevel"/>
    <w:tmpl w:val="3FA86F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288783027">
    <w:abstractNumId w:val="44"/>
  </w:num>
  <w:num w:numId="2" w16cid:durableId="1103259034">
    <w:abstractNumId w:val="15"/>
  </w:num>
  <w:num w:numId="3" w16cid:durableId="605119753">
    <w:abstractNumId w:val="64"/>
  </w:num>
  <w:num w:numId="4" w16cid:durableId="596521822">
    <w:abstractNumId w:val="45"/>
  </w:num>
  <w:num w:numId="5" w16cid:durableId="1025134996">
    <w:abstractNumId w:val="54"/>
  </w:num>
  <w:num w:numId="6" w16cid:durableId="1550803500">
    <w:abstractNumId w:val="78"/>
  </w:num>
  <w:num w:numId="7" w16cid:durableId="787160497">
    <w:abstractNumId w:val="56"/>
  </w:num>
  <w:num w:numId="8" w16cid:durableId="2061174210">
    <w:abstractNumId w:val="21"/>
  </w:num>
  <w:num w:numId="9" w16cid:durableId="283118943">
    <w:abstractNumId w:val="11"/>
  </w:num>
  <w:num w:numId="10" w16cid:durableId="702291980">
    <w:abstractNumId w:val="18"/>
  </w:num>
  <w:num w:numId="11" w16cid:durableId="190730444">
    <w:abstractNumId w:val="75"/>
  </w:num>
  <w:num w:numId="12" w16cid:durableId="585117044">
    <w:abstractNumId w:val="0"/>
  </w:num>
  <w:num w:numId="13" w16cid:durableId="142745333">
    <w:abstractNumId w:val="48"/>
  </w:num>
  <w:num w:numId="14" w16cid:durableId="573124526">
    <w:abstractNumId w:val="69"/>
  </w:num>
  <w:num w:numId="15" w16cid:durableId="891238150">
    <w:abstractNumId w:val="10"/>
  </w:num>
  <w:num w:numId="16" w16cid:durableId="276986676">
    <w:abstractNumId w:val="47"/>
  </w:num>
  <w:num w:numId="17" w16cid:durableId="351342342">
    <w:abstractNumId w:val="1"/>
  </w:num>
  <w:num w:numId="18" w16cid:durableId="864754866">
    <w:abstractNumId w:val="4"/>
  </w:num>
  <w:num w:numId="19" w16cid:durableId="103114720">
    <w:abstractNumId w:val="46"/>
  </w:num>
  <w:num w:numId="20" w16cid:durableId="1015234078">
    <w:abstractNumId w:val="35"/>
  </w:num>
  <w:num w:numId="21" w16cid:durableId="849371349">
    <w:abstractNumId w:val="13"/>
  </w:num>
  <w:num w:numId="22" w16cid:durableId="390808942">
    <w:abstractNumId w:val="32"/>
  </w:num>
  <w:num w:numId="23" w16cid:durableId="2089691764">
    <w:abstractNumId w:val="67"/>
  </w:num>
  <w:num w:numId="24" w16cid:durableId="474374871">
    <w:abstractNumId w:val="12"/>
  </w:num>
  <w:num w:numId="25" w16cid:durableId="1925988623">
    <w:abstractNumId w:val="7"/>
  </w:num>
  <w:num w:numId="26" w16cid:durableId="405345459">
    <w:abstractNumId w:val="36"/>
  </w:num>
  <w:num w:numId="27" w16cid:durableId="910307009">
    <w:abstractNumId w:val="66"/>
  </w:num>
  <w:num w:numId="28" w16cid:durableId="963123567">
    <w:abstractNumId w:val="68"/>
  </w:num>
  <w:num w:numId="29" w16cid:durableId="1406605685">
    <w:abstractNumId w:val="40"/>
  </w:num>
  <w:num w:numId="30" w16cid:durableId="1534266427">
    <w:abstractNumId w:val="60"/>
  </w:num>
  <w:num w:numId="31" w16cid:durableId="1817794016">
    <w:abstractNumId w:val="33"/>
  </w:num>
  <w:num w:numId="32" w16cid:durableId="1451120350">
    <w:abstractNumId w:val="53"/>
  </w:num>
  <w:num w:numId="33" w16cid:durableId="481310800">
    <w:abstractNumId w:val="6"/>
  </w:num>
  <w:num w:numId="34" w16cid:durableId="1308514813">
    <w:abstractNumId w:val="77"/>
  </w:num>
  <w:num w:numId="35" w16cid:durableId="1873301257">
    <w:abstractNumId w:val="61"/>
  </w:num>
  <w:num w:numId="36" w16cid:durableId="433862223">
    <w:abstractNumId w:val="25"/>
  </w:num>
  <w:num w:numId="37" w16cid:durableId="1466509845">
    <w:abstractNumId w:val="16"/>
  </w:num>
  <w:num w:numId="38" w16cid:durableId="1690333908">
    <w:abstractNumId w:val="71"/>
  </w:num>
  <w:num w:numId="39" w16cid:durableId="1944805359">
    <w:abstractNumId w:val="20"/>
  </w:num>
  <w:num w:numId="40" w16cid:durableId="941037108">
    <w:abstractNumId w:val="74"/>
  </w:num>
  <w:num w:numId="41" w16cid:durableId="786042327">
    <w:abstractNumId w:val="28"/>
  </w:num>
  <w:num w:numId="42" w16cid:durableId="258293429">
    <w:abstractNumId w:val="73"/>
  </w:num>
  <w:num w:numId="43" w16cid:durableId="1044140739">
    <w:abstractNumId w:val="65"/>
  </w:num>
  <w:num w:numId="44" w16cid:durableId="1001590472">
    <w:abstractNumId w:val="41"/>
  </w:num>
  <w:num w:numId="45" w16cid:durableId="804928052">
    <w:abstractNumId w:val="23"/>
  </w:num>
  <w:num w:numId="46" w16cid:durableId="1966886681">
    <w:abstractNumId w:val="26"/>
  </w:num>
  <w:num w:numId="47" w16cid:durableId="143861375">
    <w:abstractNumId w:val="14"/>
  </w:num>
  <w:num w:numId="48" w16cid:durableId="1341932415">
    <w:abstractNumId w:val="9"/>
  </w:num>
  <w:num w:numId="49" w16cid:durableId="773596674">
    <w:abstractNumId w:val="42"/>
  </w:num>
  <w:num w:numId="50" w16cid:durableId="1572543028">
    <w:abstractNumId w:val="31"/>
  </w:num>
  <w:num w:numId="51" w16cid:durableId="2023387969">
    <w:abstractNumId w:val="63"/>
  </w:num>
  <w:num w:numId="52" w16cid:durableId="1181895603">
    <w:abstractNumId w:val="51"/>
  </w:num>
  <w:num w:numId="53" w16cid:durableId="704253682">
    <w:abstractNumId w:val="17"/>
  </w:num>
  <w:num w:numId="54" w16cid:durableId="484048944">
    <w:abstractNumId w:val="62"/>
  </w:num>
  <w:num w:numId="55" w16cid:durableId="1085155053">
    <w:abstractNumId w:val="8"/>
  </w:num>
  <w:num w:numId="56" w16cid:durableId="1589271959">
    <w:abstractNumId w:val="38"/>
  </w:num>
  <w:num w:numId="57" w16cid:durableId="429663051">
    <w:abstractNumId w:val="22"/>
  </w:num>
  <w:num w:numId="58" w16cid:durableId="26032003">
    <w:abstractNumId w:val="52"/>
  </w:num>
  <w:num w:numId="59" w16cid:durableId="1314404948">
    <w:abstractNumId w:val="72"/>
  </w:num>
  <w:num w:numId="60" w16cid:durableId="1351179081">
    <w:abstractNumId w:val="37"/>
  </w:num>
  <w:num w:numId="61" w16cid:durableId="1941601267">
    <w:abstractNumId w:val="76"/>
  </w:num>
  <w:num w:numId="62" w16cid:durableId="863519873">
    <w:abstractNumId w:val="57"/>
  </w:num>
  <w:num w:numId="63" w16cid:durableId="309790641">
    <w:abstractNumId w:val="50"/>
  </w:num>
  <w:num w:numId="64" w16cid:durableId="2028285528">
    <w:abstractNumId w:val="59"/>
  </w:num>
  <w:num w:numId="65" w16cid:durableId="1223981018">
    <w:abstractNumId w:val="30"/>
  </w:num>
  <w:num w:numId="66" w16cid:durableId="7290516">
    <w:abstractNumId w:val="2"/>
  </w:num>
  <w:num w:numId="67" w16cid:durableId="720130726">
    <w:abstractNumId w:val="70"/>
  </w:num>
  <w:num w:numId="68" w16cid:durableId="524170934">
    <w:abstractNumId w:val="27"/>
  </w:num>
  <w:num w:numId="69" w16cid:durableId="1009067745">
    <w:abstractNumId w:val="49"/>
  </w:num>
  <w:num w:numId="70" w16cid:durableId="838350349">
    <w:abstractNumId w:val="34"/>
  </w:num>
  <w:num w:numId="71" w16cid:durableId="364719621">
    <w:abstractNumId w:val="29"/>
  </w:num>
  <w:num w:numId="72" w16cid:durableId="359287136">
    <w:abstractNumId w:val="58"/>
  </w:num>
  <w:num w:numId="73" w16cid:durableId="1639872084">
    <w:abstractNumId w:val="39"/>
  </w:num>
  <w:num w:numId="74" w16cid:durableId="1566377861">
    <w:abstractNumId w:val="19"/>
  </w:num>
  <w:num w:numId="75" w16cid:durableId="497498082">
    <w:abstractNumId w:val="5"/>
  </w:num>
  <w:num w:numId="76" w16cid:durableId="681976638">
    <w:abstractNumId w:val="24"/>
  </w:num>
  <w:num w:numId="77" w16cid:durableId="1335916667">
    <w:abstractNumId w:val="55"/>
  </w:num>
  <w:num w:numId="78" w16cid:durableId="1036154569">
    <w:abstractNumId w:val="43"/>
  </w:num>
  <w:num w:numId="79" w16cid:durableId="2138988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AC3"/>
    <w:rsid w:val="0000404D"/>
    <w:rsid w:val="00007C76"/>
    <w:rsid w:val="00013BE1"/>
    <w:rsid w:val="00023189"/>
    <w:rsid w:val="00026AC3"/>
    <w:rsid w:val="00032FB2"/>
    <w:rsid w:val="0004059E"/>
    <w:rsid w:val="000432E6"/>
    <w:rsid w:val="00053A4D"/>
    <w:rsid w:val="00062F28"/>
    <w:rsid w:val="0006341C"/>
    <w:rsid w:val="00065E23"/>
    <w:rsid w:val="00071077"/>
    <w:rsid w:val="000727A6"/>
    <w:rsid w:val="000737E6"/>
    <w:rsid w:val="0007440B"/>
    <w:rsid w:val="00074C90"/>
    <w:rsid w:val="00090B12"/>
    <w:rsid w:val="00090C5A"/>
    <w:rsid w:val="00097164"/>
    <w:rsid w:val="000A579F"/>
    <w:rsid w:val="000B2DC2"/>
    <w:rsid w:val="000B3136"/>
    <w:rsid w:val="000B59C6"/>
    <w:rsid w:val="000C3D4B"/>
    <w:rsid w:val="000C5842"/>
    <w:rsid w:val="000D1FF5"/>
    <w:rsid w:val="000E1AD5"/>
    <w:rsid w:val="000F06AC"/>
    <w:rsid w:val="000F462D"/>
    <w:rsid w:val="000F64B5"/>
    <w:rsid w:val="0010338B"/>
    <w:rsid w:val="00110626"/>
    <w:rsid w:val="00114EA5"/>
    <w:rsid w:val="00121D16"/>
    <w:rsid w:val="00122EF5"/>
    <w:rsid w:val="00125576"/>
    <w:rsid w:val="00134BA3"/>
    <w:rsid w:val="00150D48"/>
    <w:rsid w:val="001623EE"/>
    <w:rsid w:val="001807E7"/>
    <w:rsid w:val="00180C08"/>
    <w:rsid w:val="0018536E"/>
    <w:rsid w:val="001A21C4"/>
    <w:rsid w:val="001A338C"/>
    <w:rsid w:val="001B3C09"/>
    <w:rsid w:val="001B4E35"/>
    <w:rsid w:val="001C6F7D"/>
    <w:rsid w:val="001E54C9"/>
    <w:rsid w:val="001E7C4D"/>
    <w:rsid w:val="00201651"/>
    <w:rsid w:val="00201C03"/>
    <w:rsid w:val="00202483"/>
    <w:rsid w:val="00206C57"/>
    <w:rsid w:val="00212853"/>
    <w:rsid w:val="00221129"/>
    <w:rsid w:val="00224D6D"/>
    <w:rsid w:val="002313DA"/>
    <w:rsid w:val="002443A9"/>
    <w:rsid w:val="00244ECD"/>
    <w:rsid w:val="00245919"/>
    <w:rsid w:val="00257DF1"/>
    <w:rsid w:val="00265DED"/>
    <w:rsid w:val="00271C66"/>
    <w:rsid w:val="0028126F"/>
    <w:rsid w:val="002906A0"/>
    <w:rsid w:val="00291B5D"/>
    <w:rsid w:val="002972AA"/>
    <w:rsid w:val="002B668A"/>
    <w:rsid w:val="002D1760"/>
    <w:rsid w:val="002E5AC9"/>
    <w:rsid w:val="002F341B"/>
    <w:rsid w:val="00302552"/>
    <w:rsid w:val="00304931"/>
    <w:rsid w:val="00307226"/>
    <w:rsid w:val="00333349"/>
    <w:rsid w:val="0033438F"/>
    <w:rsid w:val="003427C6"/>
    <w:rsid w:val="0036372E"/>
    <w:rsid w:val="00366AED"/>
    <w:rsid w:val="00371C31"/>
    <w:rsid w:val="003767BE"/>
    <w:rsid w:val="0038146F"/>
    <w:rsid w:val="00384A70"/>
    <w:rsid w:val="00385D41"/>
    <w:rsid w:val="00394ED0"/>
    <w:rsid w:val="003A2307"/>
    <w:rsid w:val="003A3C68"/>
    <w:rsid w:val="003B5CE7"/>
    <w:rsid w:val="003C494E"/>
    <w:rsid w:val="003C579C"/>
    <w:rsid w:val="003D0E02"/>
    <w:rsid w:val="003D1FE4"/>
    <w:rsid w:val="003D37A3"/>
    <w:rsid w:val="003D3CAC"/>
    <w:rsid w:val="003D51C7"/>
    <w:rsid w:val="003E1EE3"/>
    <w:rsid w:val="003E4326"/>
    <w:rsid w:val="004014B6"/>
    <w:rsid w:val="0040471B"/>
    <w:rsid w:val="00407825"/>
    <w:rsid w:val="0041180B"/>
    <w:rsid w:val="004231B8"/>
    <w:rsid w:val="00430329"/>
    <w:rsid w:val="00431360"/>
    <w:rsid w:val="004409C6"/>
    <w:rsid w:val="00440C70"/>
    <w:rsid w:val="00451D31"/>
    <w:rsid w:val="00464564"/>
    <w:rsid w:val="00465163"/>
    <w:rsid w:val="004749E5"/>
    <w:rsid w:val="00475C28"/>
    <w:rsid w:val="00482E4E"/>
    <w:rsid w:val="0048401A"/>
    <w:rsid w:val="00486E28"/>
    <w:rsid w:val="004A767F"/>
    <w:rsid w:val="004B1C6C"/>
    <w:rsid w:val="004B472C"/>
    <w:rsid w:val="004B6B99"/>
    <w:rsid w:val="004C051E"/>
    <w:rsid w:val="004D0AA9"/>
    <w:rsid w:val="004D3709"/>
    <w:rsid w:val="004E77A6"/>
    <w:rsid w:val="004F7F49"/>
    <w:rsid w:val="0050012B"/>
    <w:rsid w:val="005019B1"/>
    <w:rsid w:val="00507409"/>
    <w:rsid w:val="00511AFE"/>
    <w:rsid w:val="0051548E"/>
    <w:rsid w:val="0051795E"/>
    <w:rsid w:val="0052551C"/>
    <w:rsid w:val="00525A70"/>
    <w:rsid w:val="00531BFE"/>
    <w:rsid w:val="00536EDE"/>
    <w:rsid w:val="00550CE1"/>
    <w:rsid w:val="005521AE"/>
    <w:rsid w:val="00552C49"/>
    <w:rsid w:val="0055386C"/>
    <w:rsid w:val="005607FC"/>
    <w:rsid w:val="0057273F"/>
    <w:rsid w:val="005774A2"/>
    <w:rsid w:val="00581470"/>
    <w:rsid w:val="005863E0"/>
    <w:rsid w:val="005A2BEA"/>
    <w:rsid w:val="005A5F7C"/>
    <w:rsid w:val="005A6707"/>
    <w:rsid w:val="005B0BC1"/>
    <w:rsid w:val="005B1965"/>
    <w:rsid w:val="005C1735"/>
    <w:rsid w:val="005D0AF6"/>
    <w:rsid w:val="005D15A4"/>
    <w:rsid w:val="005F2940"/>
    <w:rsid w:val="005F6DC1"/>
    <w:rsid w:val="006059A7"/>
    <w:rsid w:val="00614565"/>
    <w:rsid w:val="0061527C"/>
    <w:rsid w:val="006326F7"/>
    <w:rsid w:val="006332FC"/>
    <w:rsid w:val="00633896"/>
    <w:rsid w:val="00653B17"/>
    <w:rsid w:val="00655134"/>
    <w:rsid w:val="00681114"/>
    <w:rsid w:val="00686DF7"/>
    <w:rsid w:val="006933FB"/>
    <w:rsid w:val="006938EF"/>
    <w:rsid w:val="006A594C"/>
    <w:rsid w:val="006B7411"/>
    <w:rsid w:val="006C58A1"/>
    <w:rsid w:val="006D1C7D"/>
    <w:rsid w:val="006E1AD1"/>
    <w:rsid w:val="006F3F4B"/>
    <w:rsid w:val="006F5D5B"/>
    <w:rsid w:val="006F7559"/>
    <w:rsid w:val="0070692F"/>
    <w:rsid w:val="00712585"/>
    <w:rsid w:val="00715C36"/>
    <w:rsid w:val="0073639F"/>
    <w:rsid w:val="00737127"/>
    <w:rsid w:val="00744AD2"/>
    <w:rsid w:val="00744C5F"/>
    <w:rsid w:val="0075018A"/>
    <w:rsid w:val="00765CC9"/>
    <w:rsid w:val="0077206E"/>
    <w:rsid w:val="007810BA"/>
    <w:rsid w:val="00785D88"/>
    <w:rsid w:val="007922FF"/>
    <w:rsid w:val="007A3B53"/>
    <w:rsid w:val="007A5962"/>
    <w:rsid w:val="007C0246"/>
    <w:rsid w:val="007C1138"/>
    <w:rsid w:val="007C6362"/>
    <w:rsid w:val="007D1D92"/>
    <w:rsid w:val="007D32D7"/>
    <w:rsid w:val="007D472F"/>
    <w:rsid w:val="007D5435"/>
    <w:rsid w:val="007E1D1F"/>
    <w:rsid w:val="007F3164"/>
    <w:rsid w:val="007F3ED5"/>
    <w:rsid w:val="00804369"/>
    <w:rsid w:val="0081476A"/>
    <w:rsid w:val="00824C04"/>
    <w:rsid w:val="008278D3"/>
    <w:rsid w:val="00833C28"/>
    <w:rsid w:val="00843C5A"/>
    <w:rsid w:val="008510FC"/>
    <w:rsid w:val="008519A4"/>
    <w:rsid w:val="00855543"/>
    <w:rsid w:val="008579B7"/>
    <w:rsid w:val="00862ADB"/>
    <w:rsid w:val="00864331"/>
    <w:rsid w:val="00874CC8"/>
    <w:rsid w:val="00886536"/>
    <w:rsid w:val="0088779A"/>
    <w:rsid w:val="00891549"/>
    <w:rsid w:val="00895309"/>
    <w:rsid w:val="00895926"/>
    <w:rsid w:val="00897B73"/>
    <w:rsid w:val="008A10E4"/>
    <w:rsid w:val="008A3128"/>
    <w:rsid w:val="008A535A"/>
    <w:rsid w:val="008A559D"/>
    <w:rsid w:val="008A7717"/>
    <w:rsid w:val="008B46A0"/>
    <w:rsid w:val="008B4C0C"/>
    <w:rsid w:val="008B4C60"/>
    <w:rsid w:val="008C6040"/>
    <w:rsid w:val="008D24CF"/>
    <w:rsid w:val="008D3614"/>
    <w:rsid w:val="008D3C2C"/>
    <w:rsid w:val="008E4C32"/>
    <w:rsid w:val="00912634"/>
    <w:rsid w:val="009155E7"/>
    <w:rsid w:val="00927599"/>
    <w:rsid w:val="00931748"/>
    <w:rsid w:val="00934EF5"/>
    <w:rsid w:val="00950573"/>
    <w:rsid w:val="0095557B"/>
    <w:rsid w:val="009642D7"/>
    <w:rsid w:val="00975FAA"/>
    <w:rsid w:val="00976A32"/>
    <w:rsid w:val="009803A3"/>
    <w:rsid w:val="00980A33"/>
    <w:rsid w:val="00982FF7"/>
    <w:rsid w:val="0098405B"/>
    <w:rsid w:val="009851B8"/>
    <w:rsid w:val="009A3E8F"/>
    <w:rsid w:val="009B143B"/>
    <w:rsid w:val="009B3667"/>
    <w:rsid w:val="009B63F2"/>
    <w:rsid w:val="009C0690"/>
    <w:rsid w:val="009C6024"/>
    <w:rsid w:val="009D719B"/>
    <w:rsid w:val="00A0384E"/>
    <w:rsid w:val="00A0711B"/>
    <w:rsid w:val="00A161EA"/>
    <w:rsid w:val="00A2028E"/>
    <w:rsid w:val="00A251D6"/>
    <w:rsid w:val="00A26EF6"/>
    <w:rsid w:val="00A35934"/>
    <w:rsid w:val="00A36701"/>
    <w:rsid w:val="00A36B8D"/>
    <w:rsid w:val="00A4001C"/>
    <w:rsid w:val="00A455D5"/>
    <w:rsid w:val="00A57E14"/>
    <w:rsid w:val="00A60F39"/>
    <w:rsid w:val="00A61D05"/>
    <w:rsid w:val="00A67237"/>
    <w:rsid w:val="00A67C74"/>
    <w:rsid w:val="00A81C09"/>
    <w:rsid w:val="00A917BD"/>
    <w:rsid w:val="00A92497"/>
    <w:rsid w:val="00A93B0D"/>
    <w:rsid w:val="00A96D86"/>
    <w:rsid w:val="00AA24B4"/>
    <w:rsid w:val="00AB0964"/>
    <w:rsid w:val="00AB4BFB"/>
    <w:rsid w:val="00AB6E8C"/>
    <w:rsid w:val="00AC000C"/>
    <w:rsid w:val="00AD03BA"/>
    <w:rsid w:val="00AD33EC"/>
    <w:rsid w:val="00AD7342"/>
    <w:rsid w:val="00AE2065"/>
    <w:rsid w:val="00AE3CC9"/>
    <w:rsid w:val="00AE63C4"/>
    <w:rsid w:val="00B015EA"/>
    <w:rsid w:val="00B07BC6"/>
    <w:rsid w:val="00B14D9C"/>
    <w:rsid w:val="00B168AE"/>
    <w:rsid w:val="00B174E2"/>
    <w:rsid w:val="00B17A47"/>
    <w:rsid w:val="00B2411B"/>
    <w:rsid w:val="00B24491"/>
    <w:rsid w:val="00B307F8"/>
    <w:rsid w:val="00B3133E"/>
    <w:rsid w:val="00B3420F"/>
    <w:rsid w:val="00B40AFA"/>
    <w:rsid w:val="00B51FC8"/>
    <w:rsid w:val="00B54FDA"/>
    <w:rsid w:val="00B57BE6"/>
    <w:rsid w:val="00B76047"/>
    <w:rsid w:val="00B774A0"/>
    <w:rsid w:val="00B83CB3"/>
    <w:rsid w:val="00B848E9"/>
    <w:rsid w:val="00B85C30"/>
    <w:rsid w:val="00B869A1"/>
    <w:rsid w:val="00B91078"/>
    <w:rsid w:val="00B95E47"/>
    <w:rsid w:val="00B97194"/>
    <w:rsid w:val="00B97A2B"/>
    <w:rsid w:val="00BA1855"/>
    <w:rsid w:val="00BB32D4"/>
    <w:rsid w:val="00BB5C79"/>
    <w:rsid w:val="00BC5021"/>
    <w:rsid w:val="00BE365E"/>
    <w:rsid w:val="00BE57DF"/>
    <w:rsid w:val="00BF4003"/>
    <w:rsid w:val="00BF52E5"/>
    <w:rsid w:val="00C00F39"/>
    <w:rsid w:val="00C03A2C"/>
    <w:rsid w:val="00C05937"/>
    <w:rsid w:val="00C21B28"/>
    <w:rsid w:val="00C245BE"/>
    <w:rsid w:val="00C52A0D"/>
    <w:rsid w:val="00C53DB6"/>
    <w:rsid w:val="00C54B8D"/>
    <w:rsid w:val="00C550E1"/>
    <w:rsid w:val="00C732B5"/>
    <w:rsid w:val="00C751E8"/>
    <w:rsid w:val="00C77056"/>
    <w:rsid w:val="00C778E4"/>
    <w:rsid w:val="00C77AA4"/>
    <w:rsid w:val="00C85BC8"/>
    <w:rsid w:val="00C8666F"/>
    <w:rsid w:val="00C93731"/>
    <w:rsid w:val="00C95989"/>
    <w:rsid w:val="00C96B1B"/>
    <w:rsid w:val="00CA30EF"/>
    <w:rsid w:val="00CA663A"/>
    <w:rsid w:val="00CA70BB"/>
    <w:rsid w:val="00CB0C95"/>
    <w:rsid w:val="00CD5892"/>
    <w:rsid w:val="00CE4C03"/>
    <w:rsid w:val="00CE5A5B"/>
    <w:rsid w:val="00CE65B4"/>
    <w:rsid w:val="00CF0256"/>
    <w:rsid w:val="00CF4357"/>
    <w:rsid w:val="00CF4D4C"/>
    <w:rsid w:val="00D078AD"/>
    <w:rsid w:val="00D1065A"/>
    <w:rsid w:val="00D12872"/>
    <w:rsid w:val="00D16081"/>
    <w:rsid w:val="00D209CD"/>
    <w:rsid w:val="00D2147F"/>
    <w:rsid w:val="00D22949"/>
    <w:rsid w:val="00D22C44"/>
    <w:rsid w:val="00D239D4"/>
    <w:rsid w:val="00D30EAC"/>
    <w:rsid w:val="00D32DBF"/>
    <w:rsid w:val="00D44056"/>
    <w:rsid w:val="00D44C56"/>
    <w:rsid w:val="00D5415D"/>
    <w:rsid w:val="00D56EDE"/>
    <w:rsid w:val="00D86A36"/>
    <w:rsid w:val="00D9095A"/>
    <w:rsid w:val="00D917D4"/>
    <w:rsid w:val="00D95423"/>
    <w:rsid w:val="00DB25EB"/>
    <w:rsid w:val="00DB5D6F"/>
    <w:rsid w:val="00DD1757"/>
    <w:rsid w:val="00DD630B"/>
    <w:rsid w:val="00DE129B"/>
    <w:rsid w:val="00E02145"/>
    <w:rsid w:val="00E0253F"/>
    <w:rsid w:val="00E04C9A"/>
    <w:rsid w:val="00E05855"/>
    <w:rsid w:val="00E10D59"/>
    <w:rsid w:val="00E11D6D"/>
    <w:rsid w:val="00E13801"/>
    <w:rsid w:val="00E13964"/>
    <w:rsid w:val="00E13DD0"/>
    <w:rsid w:val="00E303BB"/>
    <w:rsid w:val="00E47963"/>
    <w:rsid w:val="00E56F4E"/>
    <w:rsid w:val="00E574C4"/>
    <w:rsid w:val="00E71AD8"/>
    <w:rsid w:val="00E73677"/>
    <w:rsid w:val="00E74DB5"/>
    <w:rsid w:val="00E861C4"/>
    <w:rsid w:val="00E90C55"/>
    <w:rsid w:val="00E92CB4"/>
    <w:rsid w:val="00EB6FA9"/>
    <w:rsid w:val="00EC5685"/>
    <w:rsid w:val="00EC7B69"/>
    <w:rsid w:val="00EE3FC8"/>
    <w:rsid w:val="00EE4A38"/>
    <w:rsid w:val="00EF0DCF"/>
    <w:rsid w:val="00EF375B"/>
    <w:rsid w:val="00F01083"/>
    <w:rsid w:val="00F028F7"/>
    <w:rsid w:val="00F140E4"/>
    <w:rsid w:val="00F14557"/>
    <w:rsid w:val="00F346E1"/>
    <w:rsid w:val="00F51085"/>
    <w:rsid w:val="00F515BA"/>
    <w:rsid w:val="00F56EEA"/>
    <w:rsid w:val="00F6280B"/>
    <w:rsid w:val="00F73765"/>
    <w:rsid w:val="00F7477F"/>
    <w:rsid w:val="00F77384"/>
    <w:rsid w:val="00FA6F11"/>
    <w:rsid w:val="00FC6323"/>
    <w:rsid w:val="00FC6CC7"/>
    <w:rsid w:val="00FC74A7"/>
    <w:rsid w:val="00FD60E3"/>
    <w:rsid w:val="00FD7CF0"/>
    <w:rsid w:val="00FF07CE"/>
    <w:rsid w:val="00FF142A"/>
    <w:rsid w:val="00FF28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9F3B9"/>
  <w15:chartTrackingRefBased/>
  <w15:docId w15:val="{E88B4C84-EFEF-4F71-AF73-BBBA2519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AC3"/>
    <w:rPr>
      <w:sz w:val="20"/>
    </w:rPr>
  </w:style>
  <w:style w:type="paragraph" w:styleId="Heading1">
    <w:name w:val="heading 1"/>
    <w:basedOn w:val="Normal"/>
    <w:next w:val="Normal"/>
    <w:link w:val="Heading1Char"/>
    <w:uiPriority w:val="9"/>
    <w:qFormat/>
    <w:rsid w:val="006F5D5B"/>
    <w:pPr>
      <w:keepNext/>
      <w:keepLines/>
      <w:spacing w:before="360" w:after="80"/>
      <w:outlineLvl w:val="0"/>
    </w:pPr>
    <w:rPr>
      <w:rFonts w:asciiTheme="majorHAnsi" w:eastAsiaTheme="majorEastAsia" w:hAnsiTheme="majorHAnsi" w:cstheme="majorBidi"/>
      <w:color w:val="0B3954" w:themeColor="accent1"/>
      <w:sz w:val="36"/>
      <w:szCs w:val="40"/>
    </w:rPr>
  </w:style>
  <w:style w:type="paragraph" w:styleId="Heading2">
    <w:name w:val="heading 2"/>
    <w:basedOn w:val="Normal"/>
    <w:next w:val="Normal"/>
    <w:link w:val="Heading2Char"/>
    <w:uiPriority w:val="9"/>
    <w:unhideWhenUsed/>
    <w:qFormat/>
    <w:rsid w:val="006F5D5B"/>
    <w:pPr>
      <w:keepNext/>
      <w:keepLines/>
      <w:spacing w:before="160" w:after="80"/>
      <w:outlineLvl w:val="1"/>
    </w:pPr>
    <w:rPr>
      <w:rFonts w:asciiTheme="majorHAnsi" w:eastAsiaTheme="majorEastAsia" w:hAnsiTheme="majorHAnsi" w:cstheme="majorBidi"/>
      <w:color w:val="000000" w:themeColor="accent3"/>
      <w:sz w:val="32"/>
      <w:szCs w:val="32"/>
    </w:rPr>
  </w:style>
  <w:style w:type="paragraph" w:styleId="Heading3">
    <w:name w:val="heading 3"/>
    <w:basedOn w:val="Normal"/>
    <w:next w:val="Normal"/>
    <w:link w:val="Heading3Char"/>
    <w:uiPriority w:val="9"/>
    <w:unhideWhenUsed/>
    <w:qFormat/>
    <w:rsid w:val="006F5D5B"/>
    <w:pPr>
      <w:keepNext/>
      <w:keepLines/>
      <w:spacing w:before="160" w:after="80"/>
      <w:outlineLvl w:val="2"/>
    </w:pPr>
    <w:rPr>
      <w:rFonts w:eastAsiaTheme="majorEastAsia" w:cstheme="majorBidi"/>
      <w:color w:val="000000" w:themeColor="accent3"/>
      <w:sz w:val="28"/>
      <w:szCs w:val="28"/>
    </w:rPr>
  </w:style>
  <w:style w:type="paragraph" w:styleId="Heading4">
    <w:name w:val="heading 4"/>
    <w:basedOn w:val="Normal"/>
    <w:next w:val="Normal"/>
    <w:link w:val="Heading4Char"/>
    <w:uiPriority w:val="9"/>
    <w:unhideWhenUsed/>
    <w:qFormat/>
    <w:rsid w:val="006F5D5B"/>
    <w:pPr>
      <w:keepNext/>
      <w:keepLines/>
      <w:spacing w:before="80" w:after="40"/>
      <w:outlineLvl w:val="3"/>
    </w:pPr>
    <w:rPr>
      <w:rFonts w:eastAsiaTheme="majorEastAsia" w:cstheme="majorBidi"/>
      <w:iCs/>
      <w:color w:val="000000" w:themeColor="accent3"/>
      <w:sz w:val="24"/>
    </w:rPr>
  </w:style>
  <w:style w:type="paragraph" w:styleId="Heading5">
    <w:name w:val="heading 5"/>
    <w:basedOn w:val="Normal"/>
    <w:next w:val="Normal"/>
    <w:link w:val="Heading5Char"/>
    <w:uiPriority w:val="9"/>
    <w:semiHidden/>
    <w:unhideWhenUsed/>
    <w:rsid w:val="00026AC3"/>
    <w:pPr>
      <w:keepNext/>
      <w:keepLines/>
      <w:spacing w:before="80" w:after="40"/>
      <w:outlineLvl w:val="4"/>
    </w:pPr>
    <w:rPr>
      <w:rFonts w:eastAsiaTheme="majorEastAsia" w:cstheme="majorBidi"/>
      <w:color w:val="082A3E" w:themeColor="accent1" w:themeShade="BF"/>
    </w:rPr>
  </w:style>
  <w:style w:type="paragraph" w:styleId="Heading6">
    <w:name w:val="heading 6"/>
    <w:basedOn w:val="Normal"/>
    <w:next w:val="Normal"/>
    <w:link w:val="Heading6Char"/>
    <w:uiPriority w:val="9"/>
    <w:semiHidden/>
    <w:unhideWhenUsed/>
    <w:qFormat/>
    <w:rsid w:val="00026AC3"/>
    <w:pPr>
      <w:keepNext/>
      <w:keepLines/>
      <w:spacing w:before="40" w:after="0"/>
      <w:outlineLvl w:val="5"/>
    </w:pPr>
    <w:rPr>
      <w:rFonts w:eastAsiaTheme="majorEastAsia" w:cstheme="majorBidi"/>
      <w:i/>
      <w:iCs/>
      <w:color w:val="2561B1" w:themeColor="text1" w:themeTint="A6"/>
    </w:rPr>
  </w:style>
  <w:style w:type="paragraph" w:styleId="Heading7">
    <w:name w:val="heading 7"/>
    <w:basedOn w:val="Normal"/>
    <w:next w:val="Normal"/>
    <w:link w:val="Heading7Char"/>
    <w:uiPriority w:val="9"/>
    <w:semiHidden/>
    <w:unhideWhenUsed/>
    <w:qFormat/>
    <w:rsid w:val="00026AC3"/>
    <w:pPr>
      <w:keepNext/>
      <w:keepLines/>
      <w:spacing w:before="40" w:after="0"/>
      <w:outlineLvl w:val="6"/>
    </w:pPr>
    <w:rPr>
      <w:rFonts w:eastAsiaTheme="majorEastAsia" w:cstheme="majorBidi"/>
      <w:color w:val="2561B1" w:themeColor="text1" w:themeTint="A6"/>
    </w:rPr>
  </w:style>
  <w:style w:type="paragraph" w:styleId="Heading8">
    <w:name w:val="heading 8"/>
    <w:basedOn w:val="Normal"/>
    <w:next w:val="Normal"/>
    <w:link w:val="Heading8Char"/>
    <w:uiPriority w:val="9"/>
    <w:semiHidden/>
    <w:unhideWhenUsed/>
    <w:qFormat/>
    <w:rsid w:val="00026AC3"/>
    <w:pPr>
      <w:keepNext/>
      <w:keepLines/>
      <w:spacing w:after="0"/>
      <w:outlineLvl w:val="7"/>
    </w:pPr>
    <w:rPr>
      <w:rFonts w:eastAsiaTheme="majorEastAsia" w:cstheme="majorBidi"/>
      <w:i/>
      <w:iCs/>
      <w:color w:val="163967" w:themeColor="text1" w:themeTint="D8"/>
    </w:rPr>
  </w:style>
  <w:style w:type="paragraph" w:styleId="Heading9">
    <w:name w:val="heading 9"/>
    <w:basedOn w:val="Normal"/>
    <w:next w:val="Normal"/>
    <w:link w:val="Heading9Char"/>
    <w:uiPriority w:val="9"/>
    <w:semiHidden/>
    <w:unhideWhenUsed/>
    <w:qFormat/>
    <w:rsid w:val="00026AC3"/>
    <w:pPr>
      <w:keepNext/>
      <w:keepLines/>
      <w:spacing w:after="0"/>
      <w:outlineLvl w:val="8"/>
    </w:pPr>
    <w:rPr>
      <w:rFonts w:eastAsiaTheme="majorEastAsia" w:cstheme="majorBidi"/>
      <w:color w:val="16396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D5B"/>
    <w:rPr>
      <w:rFonts w:asciiTheme="majorHAnsi" w:eastAsiaTheme="majorEastAsia" w:hAnsiTheme="majorHAnsi" w:cstheme="majorBidi"/>
      <w:color w:val="0B3954" w:themeColor="accent1"/>
      <w:sz w:val="36"/>
      <w:szCs w:val="40"/>
    </w:rPr>
  </w:style>
  <w:style w:type="character" w:customStyle="1" w:styleId="Heading2Char">
    <w:name w:val="Heading 2 Char"/>
    <w:basedOn w:val="DefaultParagraphFont"/>
    <w:link w:val="Heading2"/>
    <w:uiPriority w:val="9"/>
    <w:rsid w:val="006F5D5B"/>
    <w:rPr>
      <w:rFonts w:asciiTheme="majorHAnsi" w:eastAsiaTheme="majorEastAsia" w:hAnsiTheme="majorHAnsi" w:cstheme="majorBidi"/>
      <w:color w:val="000000" w:themeColor="accent3"/>
      <w:sz w:val="32"/>
      <w:szCs w:val="32"/>
    </w:rPr>
  </w:style>
  <w:style w:type="character" w:customStyle="1" w:styleId="Heading3Char">
    <w:name w:val="Heading 3 Char"/>
    <w:basedOn w:val="DefaultParagraphFont"/>
    <w:link w:val="Heading3"/>
    <w:uiPriority w:val="9"/>
    <w:rsid w:val="006F5D5B"/>
    <w:rPr>
      <w:rFonts w:eastAsiaTheme="majorEastAsia" w:cstheme="majorBidi"/>
      <w:color w:val="000000" w:themeColor="accent3"/>
      <w:sz w:val="28"/>
      <w:szCs w:val="28"/>
    </w:rPr>
  </w:style>
  <w:style w:type="character" w:customStyle="1" w:styleId="Heading4Char">
    <w:name w:val="Heading 4 Char"/>
    <w:basedOn w:val="DefaultParagraphFont"/>
    <w:link w:val="Heading4"/>
    <w:uiPriority w:val="9"/>
    <w:rsid w:val="006F5D5B"/>
    <w:rPr>
      <w:rFonts w:eastAsiaTheme="majorEastAsia" w:cstheme="majorBidi"/>
      <w:iCs/>
      <w:color w:val="000000" w:themeColor="accent3"/>
      <w:sz w:val="24"/>
    </w:rPr>
  </w:style>
  <w:style w:type="character" w:customStyle="1" w:styleId="Heading5Char">
    <w:name w:val="Heading 5 Char"/>
    <w:basedOn w:val="DefaultParagraphFont"/>
    <w:link w:val="Heading5"/>
    <w:uiPriority w:val="9"/>
    <w:semiHidden/>
    <w:rsid w:val="00026AC3"/>
    <w:rPr>
      <w:rFonts w:eastAsiaTheme="majorEastAsia" w:cstheme="majorBidi"/>
      <w:color w:val="082A3E" w:themeColor="accent1" w:themeShade="BF"/>
    </w:rPr>
  </w:style>
  <w:style w:type="character" w:customStyle="1" w:styleId="Heading6Char">
    <w:name w:val="Heading 6 Char"/>
    <w:basedOn w:val="DefaultParagraphFont"/>
    <w:link w:val="Heading6"/>
    <w:uiPriority w:val="9"/>
    <w:semiHidden/>
    <w:rsid w:val="00026AC3"/>
    <w:rPr>
      <w:rFonts w:eastAsiaTheme="majorEastAsia" w:cstheme="majorBidi"/>
      <w:i/>
      <w:iCs/>
      <w:color w:val="2561B1" w:themeColor="text1" w:themeTint="A6"/>
    </w:rPr>
  </w:style>
  <w:style w:type="character" w:customStyle="1" w:styleId="Heading7Char">
    <w:name w:val="Heading 7 Char"/>
    <w:basedOn w:val="DefaultParagraphFont"/>
    <w:link w:val="Heading7"/>
    <w:uiPriority w:val="9"/>
    <w:semiHidden/>
    <w:rsid w:val="00026AC3"/>
    <w:rPr>
      <w:rFonts w:eastAsiaTheme="majorEastAsia" w:cstheme="majorBidi"/>
      <w:color w:val="2561B1" w:themeColor="text1" w:themeTint="A6"/>
    </w:rPr>
  </w:style>
  <w:style w:type="character" w:customStyle="1" w:styleId="Heading8Char">
    <w:name w:val="Heading 8 Char"/>
    <w:basedOn w:val="DefaultParagraphFont"/>
    <w:link w:val="Heading8"/>
    <w:uiPriority w:val="9"/>
    <w:semiHidden/>
    <w:rsid w:val="00026AC3"/>
    <w:rPr>
      <w:rFonts w:eastAsiaTheme="majorEastAsia" w:cstheme="majorBidi"/>
      <w:i/>
      <w:iCs/>
      <w:color w:val="163967" w:themeColor="text1" w:themeTint="D8"/>
    </w:rPr>
  </w:style>
  <w:style w:type="character" w:customStyle="1" w:styleId="Heading9Char">
    <w:name w:val="Heading 9 Char"/>
    <w:basedOn w:val="DefaultParagraphFont"/>
    <w:link w:val="Heading9"/>
    <w:uiPriority w:val="9"/>
    <w:semiHidden/>
    <w:rsid w:val="00026AC3"/>
    <w:rPr>
      <w:rFonts w:eastAsiaTheme="majorEastAsia" w:cstheme="majorBidi"/>
      <w:color w:val="163967" w:themeColor="text1" w:themeTint="D8"/>
    </w:rPr>
  </w:style>
  <w:style w:type="paragraph" w:styleId="Title">
    <w:name w:val="Title"/>
    <w:basedOn w:val="Normal"/>
    <w:next w:val="Normal"/>
    <w:link w:val="TitleChar"/>
    <w:uiPriority w:val="10"/>
    <w:qFormat/>
    <w:rsid w:val="00F77384"/>
    <w:pPr>
      <w:spacing w:after="80" w:line="240" w:lineRule="auto"/>
      <w:contextualSpacing/>
    </w:pPr>
    <w:rPr>
      <w:rFonts w:ascii="Inter ExtraBold" w:eastAsiaTheme="majorEastAsia" w:hAnsi="Inter ExtraBold" w:cstheme="majorBidi"/>
      <w:color w:val="0599AD" w:themeColor="accent2"/>
      <w:spacing w:val="-10"/>
      <w:kern w:val="28"/>
      <w:sz w:val="56"/>
      <w:szCs w:val="56"/>
    </w:rPr>
  </w:style>
  <w:style w:type="character" w:customStyle="1" w:styleId="TitleChar">
    <w:name w:val="Title Char"/>
    <w:basedOn w:val="DefaultParagraphFont"/>
    <w:link w:val="Title"/>
    <w:uiPriority w:val="10"/>
    <w:rsid w:val="00F77384"/>
    <w:rPr>
      <w:rFonts w:ascii="Inter ExtraBold" w:eastAsiaTheme="majorEastAsia" w:hAnsi="Inter ExtraBold" w:cstheme="majorBidi"/>
      <w:color w:val="0599AD" w:themeColor="accent2"/>
      <w:spacing w:val="-10"/>
      <w:kern w:val="28"/>
      <w:sz w:val="56"/>
      <w:szCs w:val="56"/>
    </w:rPr>
  </w:style>
  <w:style w:type="paragraph" w:styleId="Subtitle">
    <w:name w:val="Subtitle"/>
    <w:basedOn w:val="Normal"/>
    <w:next w:val="Normal"/>
    <w:link w:val="SubtitleChar"/>
    <w:uiPriority w:val="11"/>
    <w:qFormat/>
    <w:rsid w:val="00026AC3"/>
    <w:pPr>
      <w:numPr>
        <w:ilvl w:val="1"/>
      </w:numPr>
    </w:pPr>
    <w:rPr>
      <w:rFonts w:asciiTheme="majorHAnsi" w:eastAsiaTheme="majorEastAsia" w:hAnsiTheme="majorHAnsi" w:cstheme="majorBidi"/>
      <w:color w:val="000000" w:themeColor="accent3"/>
      <w:spacing w:val="15"/>
      <w:sz w:val="36"/>
      <w:szCs w:val="28"/>
    </w:rPr>
  </w:style>
  <w:style w:type="character" w:customStyle="1" w:styleId="SubtitleChar">
    <w:name w:val="Subtitle Char"/>
    <w:basedOn w:val="DefaultParagraphFont"/>
    <w:link w:val="Subtitle"/>
    <w:uiPriority w:val="11"/>
    <w:rsid w:val="00026AC3"/>
    <w:rPr>
      <w:rFonts w:asciiTheme="majorHAnsi" w:eastAsiaTheme="majorEastAsia" w:hAnsiTheme="majorHAnsi" w:cstheme="majorBidi"/>
      <w:color w:val="000000" w:themeColor="accent3"/>
      <w:spacing w:val="15"/>
      <w:sz w:val="36"/>
      <w:szCs w:val="28"/>
    </w:rPr>
  </w:style>
  <w:style w:type="paragraph" w:styleId="Quote">
    <w:name w:val="Quote"/>
    <w:basedOn w:val="Normal"/>
    <w:next w:val="Normal"/>
    <w:link w:val="QuoteChar"/>
    <w:uiPriority w:val="29"/>
    <w:rsid w:val="00026AC3"/>
    <w:pPr>
      <w:spacing w:before="160"/>
      <w:jc w:val="center"/>
    </w:pPr>
    <w:rPr>
      <w:i/>
      <w:iCs/>
      <w:color w:val="1E4D8C" w:themeColor="text1" w:themeTint="BF"/>
    </w:rPr>
  </w:style>
  <w:style w:type="character" w:customStyle="1" w:styleId="QuoteChar">
    <w:name w:val="Quote Char"/>
    <w:basedOn w:val="DefaultParagraphFont"/>
    <w:link w:val="Quote"/>
    <w:uiPriority w:val="29"/>
    <w:rsid w:val="00026AC3"/>
    <w:rPr>
      <w:i/>
      <w:iCs/>
      <w:color w:val="1E4D8C" w:themeColor="text1" w:themeTint="BF"/>
    </w:rPr>
  </w:style>
  <w:style w:type="paragraph" w:styleId="ListParagraph">
    <w:name w:val="List Paragraph"/>
    <w:basedOn w:val="Normal"/>
    <w:uiPriority w:val="34"/>
    <w:qFormat/>
    <w:rsid w:val="00026AC3"/>
    <w:pPr>
      <w:ind w:left="720"/>
      <w:contextualSpacing/>
    </w:pPr>
  </w:style>
  <w:style w:type="character" w:styleId="IntenseEmphasis">
    <w:name w:val="Intense Emphasis"/>
    <w:basedOn w:val="DefaultParagraphFont"/>
    <w:uiPriority w:val="21"/>
    <w:rsid w:val="00026AC3"/>
    <w:rPr>
      <w:i/>
      <w:iCs/>
      <w:color w:val="082A3E" w:themeColor="accent1" w:themeShade="BF"/>
    </w:rPr>
  </w:style>
  <w:style w:type="paragraph" w:styleId="IntenseQuote">
    <w:name w:val="Intense Quote"/>
    <w:basedOn w:val="Normal"/>
    <w:next w:val="Normal"/>
    <w:link w:val="IntenseQuoteChar"/>
    <w:uiPriority w:val="30"/>
    <w:qFormat/>
    <w:rsid w:val="00026AC3"/>
    <w:pPr>
      <w:pBdr>
        <w:top w:val="single" w:sz="4" w:space="10" w:color="082A3E" w:themeColor="accent1" w:themeShade="BF"/>
        <w:bottom w:val="single" w:sz="4" w:space="10" w:color="082A3E" w:themeColor="accent1" w:themeShade="BF"/>
      </w:pBdr>
      <w:spacing w:before="360" w:after="360"/>
      <w:ind w:left="864" w:right="864"/>
      <w:jc w:val="center"/>
    </w:pPr>
    <w:rPr>
      <w:i/>
      <w:iCs/>
      <w:color w:val="0B3954" w:themeColor="accent1"/>
    </w:rPr>
  </w:style>
  <w:style w:type="character" w:customStyle="1" w:styleId="IntenseQuoteChar">
    <w:name w:val="Intense Quote Char"/>
    <w:basedOn w:val="DefaultParagraphFont"/>
    <w:link w:val="IntenseQuote"/>
    <w:uiPriority w:val="30"/>
    <w:rsid w:val="00026AC3"/>
    <w:rPr>
      <w:i/>
      <w:iCs/>
      <w:color w:val="0B3954" w:themeColor="accent1"/>
      <w:sz w:val="20"/>
    </w:rPr>
  </w:style>
  <w:style w:type="character" w:styleId="IntenseReference">
    <w:name w:val="Intense Reference"/>
    <w:basedOn w:val="DefaultParagraphFont"/>
    <w:uiPriority w:val="32"/>
    <w:rsid w:val="00026AC3"/>
    <w:rPr>
      <w:b/>
      <w:bCs/>
      <w:smallCaps/>
      <w:color w:val="082A3E" w:themeColor="accent1" w:themeShade="BF"/>
      <w:spacing w:val="5"/>
    </w:rPr>
  </w:style>
  <w:style w:type="paragraph" w:customStyle="1" w:styleId="Generate">
    <w:name w:val="Generate"/>
    <w:basedOn w:val="Normal"/>
    <w:link w:val="GenerateChar"/>
    <w:rsid w:val="00026AC3"/>
  </w:style>
  <w:style w:type="character" w:customStyle="1" w:styleId="GenerateChar">
    <w:name w:val="Generate Char"/>
    <w:basedOn w:val="DefaultParagraphFont"/>
    <w:link w:val="Generate"/>
    <w:rsid w:val="00026AC3"/>
  </w:style>
  <w:style w:type="paragraph" w:styleId="Header">
    <w:name w:val="header"/>
    <w:basedOn w:val="Normal"/>
    <w:link w:val="HeaderChar"/>
    <w:uiPriority w:val="99"/>
    <w:unhideWhenUsed/>
    <w:rsid w:val="00026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AC3"/>
  </w:style>
  <w:style w:type="paragraph" w:styleId="Footer">
    <w:name w:val="footer"/>
    <w:basedOn w:val="Normal"/>
    <w:link w:val="FooterChar"/>
    <w:uiPriority w:val="99"/>
    <w:unhideWhenUsed/>
    <w:rsid w:val="00026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AC3"/>
  </w:style>
  <w:style w:type="paragraph" w:styleId="NoSpacing">
    <w:name w:val="No Spacing"/>
    <w:link w:val="NoSpacingChar"/>
    <w:uiPriority w:val="1"/>
    <w:qFormat/>
    <w:rsid w:val="00026AC3"/>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026AC3"/>
    <w:rPr>
      <w:rFonts w:eastAsiaTheme="minorEastAsia"/>
      <w:lang w:eastAsia="en-GB"/>
    </w:rPr>
  </w:style>
  <w:style w:type="character" w:styleId="PlaceholderText">
    <w:name w:val="Placeholder Text"/>
    <w:basedOn w:val="DefaultParagraphFont"/>
    <w:uiPriority w:val="99"/>
    <w:semiHidden/>
    <w:rsid w:val="006F5D5B"/>
    <w:rPr>
      <w:color w:val="666666"/>
    </w:rPr>
  </w:style>
  <w:style w:type="paragraph" w:customStyle="1" w:styleId="Callout">
    <w:name w:val="Callout"/>
    <w:basedOn w:val="Normal"/>
    <w:link w:val="CalloutChar"/>
    <w:qFormat/>
    <w:rsid w:val="0007440B"/>
    <w:rPr>
      <w:rFonts w:ascii="IBM Plex Sans SemiBold" w:hAnsi="IBM Plex Sans SemiBold"/>
      <w:color w:val="0599AD" w:themeColor="accent2"/>
    </w:rPr>
  </w:style>
  <w:style w:type="character" w:customStyle="1" w:styleId="CalloutChar">
    <w:name w:val="Callout Char"/>
    <w:basedOn w:val="DefaultParagraphFont"/>
    <w:link w:val="Callout"/>
    <w:rsid w:val="0007440B"/>
    <w:rPr>
      <w:rFonts w:ascii="IBM Plex Sans SemiBold" w:hAnsi="IBM Plex Sans SemiBold"/>
      <w:color w:val="0599AD" w:themeColor="accent2"/>
      <w:sz w:val="20"/>
    </w:rPr>
  </w:style>
  <w:style w:type="table" w:styleId="TableGrid">
    <w:name w:val="Table Grid"/>
    <w:basedOn w:val="TableNormal"/>
    <w:uiPriority w:val="39"/>
    <w:rsid w:val="00F02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800" b="0" i="0" u="none" strike="noStrike" kern="1200" cap="none" spc="0" normalizeH="0" baseline="0">
                <a:solidFill>
                  <a:schemeClr val="tx1">
                    <a:lumMod val="65000"/>
                    <a:lumOff val="35000"/>
                  </a:schemeClr>
                </a:solidFill>
                <a:latin typeface="+mj-lt"/>
                <a:ea typeface="+mj-ea"/>
                <a:cs typeface="+mj-cs"/>
              </a:defRPr>
            </a:pPr>
            <a:r>
              <a:rPr lang="en-GB" sz="800">
                <a:solidFill>
                  <a:schemeClr val="accent3"/>
                </a:solidFill>
                <a:latin typeface="+mn-lt"/>
              </a:rPr>
              <a:t>20-Years</a:t>
            </a:r>
            <a:r>
              <a:rPr lang="en-GB" sz="800" baseline="0">
                <a:solidFill>
                  <a:schemeClr val="accent3"/>
                </a:solidFill>
                <a:latin typeface="+mn-lt"/>
              </a:rPr>
              <a:t> of Lloyds </a:t>
            </a:r>
            <a:r>
              <a:rPr lang="en-GB" sz="800" b="0" i="0" u="none" strike="noStrike" kern="1200" cap="none" spc="0" normalizeH="0" baseline="0">
                <a:solidFill>
                  <a:schemeClr val="accent3"/>
                </a:solidFill>
                <a:latin typeface="+mn-lt"/>
                <a:ea typeface="+mj-ea"/>
                <a:cs typeface="+mj-cs"/>
              </a:rPr>
              <a:t>Combined ratios</a:t>
            </a:r>
            <a:endParaRPr lang="en-GB" sz="800">
              <a:solidFill>
                <a:schemeClr val="accent3"/>
              </a:solidFill>
              <a:latin typeface="+mn-lt"/>
            </a:endParaRPr>
          </a:p>
        </c:rich>
      </c:tx>
      <c:overlay val="0"/>
      <c:spPr>
        <a:noFill/>
        <a:ln>
          <a:noFill/>
        </a:ln>
        <a:effectLst/>
      </c:spPr>
      <c:txPr>
        <a:bodyPr rot="0" spcFirstLastPara="1" vertOverflow="ellipsis" vert="horz" wrap="square" anchor="ctr" anchorCtr="1"/>
        <a:lstStyle/>
        <a:p>
          <a:pPr>
            <a:defRPr sz="800" b="0" i="0" u="none" strike="noStrike" kern="1200" cap="none" spc="0" normalizeH="0" baseline="0">
              <a:solidFill>
                <a:schemeClr val="tx1">
                  <a:lumMod val="65000"/>
                  <a:lumOff val="35000"/>
                </a:schemeClr>
              </a:solidFill>
              <a:latin typeface="+mj-lt"/>
              <a:ea typeface="+mj-ea"/>
              <a:cs typeface="+mj-cs"/>
            </a:defRPr>
          </a:pPr>
          <a:endParaRPr lang="en-GB"/>
        </a:p>
      </c:txPr>
    </c:title>
    <c:autoTitleDeleted val="0"/>
    <c:plotArea>
      <c:layout>
        <c:manualLayout>
          <c:layoutTarget val="inner"/>
          <c:xMode val="edge"/>
          <c:yMode val="edge"/>
          <c:x val="7.2904318418251179E-2"/>
          <c:y val="4.406506893118927E-2"/>
          <c:w val="0.86215616797900274"/>
          <c:h val="0.90727332158932561"/>
        </c:manualLayout>
      </c:layout>
      <c:lineChart>
        <c:grouping val="standard"/>
        <c:varyColors val="0"/>
        <c:ser>
          <c:idx val="1"/>
          <c:order val="0"/>
          <c:tx>
            <c:strRef>
              <c:f>Sheet1!$C$1</c:f>
              <c:strCache>
                <c:ptCount val="1"/>
                <c:pt idx="0">
                  <c:v>Lloyds</c:v>
                </c:pt>
              </c:strCache>
            </c:strRef>
          </c:tx>
          <c:spPr>
            <a:ln w="6350" cap="rnd">
              <a:solidFill>
                <a:schemeClr val="tx2"/>
              </a:solidFill>
              <a:prstDash val="dash"/>
              <a:round/>
            </a:ln>
            <a:effectLst/>
          </c:spPr>
          <c:marker>
            <c:symbol val="none"/>
          </c:marker>
          <c:cat>
            <c:numRef>
              <c:f>Sheet1!$A$31:$A$51</c:f>
              <c:numCache>
                <c:formatCode>General</c:formatCode>
                <c:ptCount val="21"/>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pt idx="19">
                  <c:v>2023</c:v>
                </c:pt>
                <c:pt idx="20">
                  <c:v>2024</c:v>
                </c:pt>
              </c:numCache>
            </c:numRef>
          </c:cat>
          <c:val>
            <c:numRef>
              <c:f>Sheet1!$C$31:$C$51</c:f>
              <c:numCache>
                <c:formatCode>General</c:formatCode>
                <c:ptCount val="21"/>
                <c:pt idx="0">
                  <c:v>96.9</c:v>
                </c:pt>
                <c:pt idx="1">
                  <c:v>111.8</c:v>
                </c:pt>
                <c:pt idx="2">
                  <c:v>83.1</c:v>
                </c:pt>
                <c:pt idx="3">
                  <c:v>84</c:v>
                </c:pt>
                <c:pt idx="4">
                  <c:v>91.3</c:v>
                </c:pt>
                <c:pt idx="5">
                  <c:v>86.1</c:v>
                </c:pt>
                <c:pt idx="6">
                  <c:v>93.3</c:v>
                </c:pt>
                <c:pt idx="7">
                  <c:v>106.8</c:v>
                </c:pt>
                <c:pt idx="8">
                  <c:v>91.1</c:v>
                </c:pt>
                <c:pt idx="9">
                  <c:v>86.8</c:v>
                </c:pt>
                <c:pt idx="10">
                  <c:v>88.4</c:v>
                </c:pt>
                <c:pt idx="11">
                  <c:v>90</c:v>
                </c:pt>
                <c:pt idx="12">
                  <c:v>97.9</c:v>
                </c:pt>
                <c:pt idx="13">
                  <c:v>114</c:v>
                </c:pt>
                <c:pt idx="14">
                  <c:v>104.5</c:v>
                </c:pt>
                <c:pt idx="15">
                  <c:v>102.1</c:v>
                </c:pt>
                <c:pt idx="16">
                  <c:v>110.3</c:v>
                </c:pt>
                <c:pt idx="17">
                  <c:v>93.5</c:v>
                </c:pt>
                <c:pt idx="18">
                  <c:v>91.9</c:v>
                </c:pt>
                <c:pt idx="19">
                  <c:v>84</c:v>
                </c:pt>
                <c:pt idx="20">
                  <c:v>86.9</c:v>
                </c:pt>
              </c:numCache>
            </c:numRef>
          </c:val>
          <c:smooth val="0"/>
          <c:extLst>
            <c:ext xmlns:c16="http://schemas.microsoft.com/office/drawing/2014/chart" uri="{C3380CC4-5D6E-409C-BE32-E72D297353CC}">
              <c16:uniqueId val="{00000000-5E59-44E9-9C7B-801CC7B80A81}"/>
            </c:ext>
          </c:extLst>
        </c:ser>
        <c:ser>
          <c:idx val="2"/>
          <c:order val="1"/>
          <c:tx>
            <c:strRef>
              <c:f>Sheet1!$D$1</c:f>
              <c:strCache>
                <c:ptCount val="1"/>
                <c:pt idx="0">
                  <c:v>Reference</c:v>
                </c:pt>
              </c:strCache>
            </c:strRef>
          </c:tx>
          <c:spPr>
            <a:ln w="38100" cap="rnd">
              <a:solidFill>
                <a:schemeClr val="accent5"/>
              </a:solidFill>
              <a:prstDash val="lgDash"/>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1-5E59-44E9-9C7B-801CC7B80A81}"/>
                </c:ext>
              </c:extLst>
            </c:dLbl>
            <c:dLbl>
              <c:idx val="1"/>
              <c:delete val="1"/>
              <c:extLst>
                <c:ext xmlns:c15="http://schemas.microsoft.com/office/drawing/2012/chart" uri="{CE6537A1-D6FC-4f65-9D91-7224C49458BB}"/>
                <c:ext xmlns:c16="http://schemas.microsoft.com/office/drawing/2014/chart" uri="{C3380CC4-5D6E-409C-BE32-E72D297353CC}">
                  <c16:uniqueId val="{00000002-5E59-44E9-9C7B-801CC7B80A81}"/>
                </c:ext>
              </c:extLst>
            </c:dLbl>
            <c:dLbl>
              <c:idx val="2"/>
              <c:delete val="1"/>
              <c:extLst>
                <c:ext xmlns:c15="http://schemas.microsoft.com/office/drawing/2012/chart" uri="{CE6537A1-D6FC-4f65-9D91-7224C49458BB}"/>
                <c:ext xmlns:c16="http://schemas.microsoft.com/office/drawing/2014/chart" uri="{C3380CC4-5D6E-409C-BE32-E72D297353CC}">
                  <c16:uniqueId val="{00000003-5E59-44E9-9C7B-801CC7B80A81}"/>
                </c:ext>
              </c:extLst>
            </c:dLbl>
            <c:dLbl>
              <c:idx val="3"/>
              <c:delete val="1"/>
              <c:extLst>
                <c:ext xmlns:c15="http://schemas.microsoft.com/office/drawing/2012/chart" uri="{CE6537A1-D6FC-4f65-9D91-7224C49458BB}"/>
                <c:ext xmlns:c16="http://schemas.microsoft.com/office/drawing/2014/chart" uri="{C3380CC4-5D6E-409C-BE32-E72D297353CC}">
                  <c16:uniqueId val="{00000004-5E59-44E9-9C7B-801CC7B80A81}"/>
                </c:ext>
              </c:extLst>
            </c:dLbl>
            <c:dLbl>
              <c:idx val="4"/>
              <c:delete val="1"/>
              <c:extLst>
                <c:ext xmlns:c15="http://schemas.microsoft.com/office/drawing/2012/chart" uri="{CE6537A1-D6FC-4f65-9D91-7224C49458BB}"/>
                <c:ext xmlns:c16="http://schemas.microsoft.com/office/drawing/2014/chart" uri="{C3380CC4-5D6E-409C-BE32-E72D297353CC}">
                  <c16:uniqueId val="{00000005-5E59-44E9-9C7B-801CC7B80A81}"/>
                </c:ext>
              </c:extLst>
            </c:dLbl>
            <c:dLbl>
              <c:idx val="5"/>
              <c:delete val="1"/>
              <c:extLst>
                <c:ext xmlns:c15="http://schemas.microsoft.com/office/drawing/2012/chart" uri="{CE6537A1-D6FC-4f65-9D91-7224C49458BB}"/>
                <c:ext xmlns:c16="http://schemas.microsoft.com/office/drawing/2014/chart" uri="{C3380CC4-5D6E-409C-BE32-E72D297353CC}">
                  <c16:uniqueId val="{00000006-5E59-44E9-9C7B-801CC7B80A81}"/>
                </c:ext>
              </c:extLst>
            </c:dLbl>
            <c:dLbl>
              <c:idx val="6"/>
              <c:delete val="1"/>
              <c:extLst>
                <c:ext xmlns:c15="http://schemas.microsoft.com/office/drawing/2012/chart" uri="{CE6537A1-D6FC-4f65-9D91-7224C49458BB}"/>
                <c:ext xmlns:c16="http://schemas.microsoft.com/office/drawing/2014/chart" uri="{C3380CC4-5D6E-409C-BE32-E72D297353CC}">
                  <c16:uniqueId val="{00000007-5E59-44E9-9C7B-801CC7B80A81}"/>
                </c:ext>
              </c:extLst>
            </c:dLbl>
            <c:dLbl>
              <c:idx val="7"/>
              <c:delete val="1"/>
              <c:extLst>
                <c:ext xmlns:c15="http://schemas.microsoft.com/office/drawing/2012/chart" uri="{CE6537A1-D6FC-4f65-9D91-7224C49458BB}"/>
                <c:ext xmlns:c16="http://schemas.microsoft.com/office/drawing/2014/chart" uri="{C3380CC4-5D6E-409C-BE32-E72D297353CC}">
                  <c16:uniqueId val="{00000008-5E59-44E9-9C7B-801CC7B80A81}"/>
                </c:ext>
              </c:extLst>
            </c:dLbl>
            <c:dLbl>
              <c:idx val="8"/>
              <c:delete val="1"/>
              <c:extLst>
                <c:ext xmlns:c15="http://schemas.microsoft.com/office/drawing/2012/chart" uri="{CE6537A1-D6FC-4f65-9D91-7224C49458BB}"/>
                <c:ext xmlns:c16="http://schemas.microsoft.com/office/drawing/2014/chart" uri="{C3380CC4-5D6E-409C-BE32-E72D297353CC}">
                  <c16:uniqueId val="{00000009-5E59-44E9-9C7B-801CC7B80A81}"/>
                </c:ext>
              </c:extLst>
            </c:dLbl>
            <c:dLbl>
              <c:idx val="9"/>
              <c:delete val="1"/>
              <c:extLst>
                <c:ext xmlns:c15="http://schemas.microsoft.com/office/drawing/2012/chart" uri="{CE6537A1-D6FC-4f65-9D91-7224C49458BB}"/>
                <c:ext xmlns:c16="http://schemas.microsoft.com/office/drawing/2014/chart" uri="{C3380CC4-5D6E-409C-BE32-E72D297353CC}">
                  <c16:uniqueId val="{0000000A-5E59-44E9-9C7B-801CC7B80A81}"/>
                </c:ext>
              </c:extLst>
            </c:dLbl>
            <c:dLbl>
              <c:idx val="10"/>
              <c:delete val="1"/>
              <c:extLst>
                <c:ext xmlns:c15="http://schemas.microsoft.com/office/drawing/2012/chart" uri="{CE6537A1-D6FC-4f65-9D91-7224C49458BB}"/>
                <c:ext xmlns:c16="http://schemas.microsoft.com/office/drawing/2014/chart" uri="{C3380CC4-5D6E-409C-BE32-E72D297353CC}">
                  <c16:uniqueId val="{0000000B-5E59-44E9-9C7B-801CC7B80A81}"/>
                </c:ext>
              </c:extLst>
            </c:dLbl>
            <c:dLbl>
              <c:idx val="11"/>
              <c:delete val="1"/>
              <c:extLst>
                <c:ext xmlns:c15="http://schemas.microsoft.com/office/drawing/2012/chart" uri="{CE6537A1-D6FC-4f65-9D91-7224C49458BB}"/>
                <c:ext xmlns:c16="http://schemas.microsoft.com/office/drawing/2014/chart" uri="{C3380CC4-5D6E-409C-BE32-E72D297353CC}">
                  <c16:uniqueId val="{0000000C-5E59-44E9-9C7B-801CC7B80A81}"/>
                </c:ext>
              </c:extLst>
            </c:dLbl>
            <c:dLbl>
              <c:idx val="12"/>
              <c:delete val="1"/>
              <c:extLst>
                <c:ext xmlns:c15="http://schemas.microsoft.com/office/drawing/2012/chart" uri="{CE6537A1-D6FC-4f65-9D91-7224C49458BB}"/>
                <c:ext xmlns:c16="http://schemas.microsoft.com/office/drawing/2014/chart" uri="{C3380CC4-5D6E-409C-BE32-E72D297353CC}">
                  <c16:uniqueId val="{0000000D-5E59-44E9-9C7B-801CC7B80A81}"/>
                </c:ext>
              </c:extLst>
            </c:dLbl>
            <c:dLbl>
              <c:idx val="13"/>
              <c:delete val="1"/>
              <c:extLst>
                <c:ext xmlns:c15="http://schemas.microsoft.com/office/drawing/2012/chart" uri="{CE6537A1-D6FC-4f65-9D91-7224C49458BB}"/>
                <c:ext xmlns:c16="http://schemas.microsoft.com/office/drawing/2014/chart" uri="{C3380CC4-5D6E-409C-BE32-E72D297353CC}">
                  <c16:uniqueId val="{0000000E-5E59-44E9-9C7B-801CC7B80A81}"/>
                </c:ext>
              </c:extLst>
            </c:dLbl>
            <c:dLbl>
              <c:idx val="14"/>
              <c:delete val="1"/>
              <c:extLst>
                <c:ext xmlns:c15="http://schemas.microsoft.com/office/drawing/2012/chart" uri="{CE6537A1-D6FC-4f65-9D91-7224C49458BB}"/>
                <c:ext xmlns:c16="http://schemas.microsoft.com/office/drawing/2014/chart" uri="{C3380CC4-5D6E-409C-BE32-E72D297353CC}">
                  <c16:uniqueId val="{0000000F-5E59-44E9-9C7B-801CC7B80A81}"/>
                </c:ext>
              </c:extLst>
            </c:dLbl>
            <c:dLbl>
              <c:idx val="15"/>
              <c:delete val="1"/>
              <c:extLst>
                <c:ext xmlns:c15="http://schemas.microsoft.com/office/drawing/2012/chart" uri="{CE6537A1-D6FC-4f65-9D91-7224C49458BB}"/>
                <c:ext xmlns:c16="http://schemas.microsoft.com/office/drawing/2014/chart" uri="{C3380CC4-5D6E-409C-BE32-E72D297353CC}">
                  <c16:uniqueId val="{00000010-5E59-44E9-9C7B-801CC7B80A81}"/>
                </c:ext>
              </c:extLst>
            </c:dLbl>
            <c:dLbl>
              <c:idx val="16"/>
              <c:delete val="1"/>
              <c:extLst>
                <c:ext xmlns:c15="http://schemas.microsoft.com/office/drawing/2012/chart" uri="{CE6537A1-D6FC-4f65-9D91-7224C49458BB}"/>
                <c:ext xmlns:c16="http://schemas.microsoft.com/office/drawing/2014/chart" uri="{C3380CC4-5D6E-409C-BE32-E72D297353CC}">
                  <c16:uniqueId val="{00000011-5E59-44E9-9C7B-801CC7B80A81}"/>
                </c:ext>
              </c:extLst>
            </c:dLbl>
            <c:dLbl>
              <c:idx val="17"/>
              <c:delete val="1"/>
              <c:extLst>
                <c:ext xmlns:c15="http://schemas.microsoft.com/office/drawing/2012/chart" uri="{CE6537A1-D6FC-4f65-9D91-7224C49458BB}"/>
                <c:ext xmlns:c16="http://schemas.microsoft.com/office/drawing/2014/chart" uri="{C3380CC4-5D6E-409C-BE32-E72D297353CC}">
                  <c16:uniqueId val="{00000012-5E59-44E9-9C7B-801CC7B80A81}"/>
                </c:ext>
              </c:extLst>
            </c:dLbl>
            <c:dLbl>
              <c:idx val="18"/>
              <c:delete val="1"/>
              <c:extLst>
                <c:ext xmlns:c15="http://schemas.microsoft.com/office/drawing/2012/chart" uri="{CE6537A1-D6FC-4f65-9D91-7224C49458BB}"/>
                <c:ext xmlns:c16="http://schemas.microsoft.com/office/drawing/2014/chart" uri="{C3380CC4-5D6E-409C-BE32-E72D297353CC}">
                  <c16:uniqueId val="{00000013-5E59-44E9-9C7B-801CC7B80A81}"/>
                </c:ext>
              </c:extLst>
            </c:dLbl>
            <c:dLbl>
              <c:idx val="19"/>
              <c:layout>
                <c:manualLayout>
                  <c:x val="-1.826964499893298E-2"/>
                  <c:y val="-6.0163788978724757E-2"/>
                </c:manualLayout>
              </c:layout>
              <c:tx>
                <c:rich>
                  <a:bodyPr rot="0" spcFirstLastPara="1" vertOverflow="ellipsis" vert="horz" wrap="square" lIns="38100" tIns="19050" rIns="38100" bIns="19050" anchor="ctr" anchorCtr="1">
                    <a:spAutoFit/>
                  </a:bodyPr>
                  <a:lstStyle/>
                  <a:p>
                    <a:pPr>
                      <a:defRPr sz="800" b="0" i="0" u="none" strike="noStrike" kern="1200" baseline="0">
                        <a:solidFill>
                          <a:schemeClr val="accent3"/>
                        </a:solidFill>
                        <a:latin typeface="+mn-lt"/>
                        <a:ea typeface="+mn-ea"/>
                        <a:cs typeface="+mn-cs"/>
                      </a:defRPr>
                    </a:pPr>
                    <a:r>
                      <a:rPr lang="en-US" sz="800" dirty="0">
                        <a:solidFill>
                          <a:schemeClr val="accent3"/>
                        </a:solidFill>
                      </a:rPr>
                      <a:t>Break-even</a:t>
                    </a:r>
                  </a:p>
                </c:rich>
              </c:tx>
              <c:spPr>
                <a:solidFill>
                  <a:schemeClr val="bg1"/>
                </a:solid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3"/>
                      </a:solidFill>
                      <a:latin typeface="+mn-lt"/>
                      <a:ea typeface="+mn-ea"/>
                      <a:cs typeface="+mn-cs"/>
                    </a:defRPr>
                  </a:pPr>
                  <a:endParaRPr lang="en-US"/>
                </a:p>
              </c:txPr>
              <c:dLblPos val="r"/>
              <c:showLegendKey val="0"/>
              <c:showVal val="0"/>
              <c:showCatName val="0"/>
              <c:showSerName val="1"/>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4-5E59-44E9-9C7B-801CC7B80A81}"/>
                </c:ext>
              </c:extLst>
            </c:dLbl>
            <c:dLbl>
              <c:idx val="20"/>
              <c:delete val="1"/>
              <c:extLst>
                <c:ext xmlns:c15="http://schemas.microsoft.com/office/drawing/2012/chart" uri="{CE6537A1-D6FC-4f65-9D91-7224C49458BB}"/>
                <c:ext xmlns:c16="http://schemas.microsoft.com/office/drawing/2014/chart" uri="{C3380CC4-5D6E-409C-BE32-E72D297353CC}">
                  <c16:uniqueId val="{00000015-5E59-44E9-9C7B-801CC7B80A81}"/>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3"/>
                    </a:solidFill>
                    <a:latin typeface="+mn-lt"/>
                    <a:ea typeface="+mn-ea"/>
                    <a:cs typeface="+mn-cs"/>
                  </a:defRPr>
                </a:pPr>
                <a:endParaRPr lang="en-US"/>
              </a:p>
            </c:txPr>
            <c:dLblPos val="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Sheet1!$A$31:$A$51</c:f>
              <c:numCache>
                <c:formatCode>General</c:formatCode>
                <c:ptCount val="21"/>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pt idx="19">
                  <c:v>2023</c:v>
                </c:pt>
                <c:pt idx="20">
                  <c:v>2024</c:v>
                </c:pt>
              </c:numCache>
            </c:numRef>
          </c:cat>
          <c:val>
            <c:numRef>
              <c:f>Sheet1!$D$31:$D$51</c:f>
              <c:numCache>
                <c:formatCode>General</c:formatCode>
                <c:ptCount val="21"/>
                <c:pt idx="0">
                  <c:v>100</c:v>
                </c:pt>
                <c:pt idx="1">
                  <c:v>100</c:v>
                </c:pt>
                <c:pt idx="2">
                  <c:v>100</c:v>
                </c:pt>
                <c:pt idx="3">
                  <c:v>100</c:v>
                </c:pt>
                <c:pt idx="4">
                  <c:v>100</c:v>
                </c:pt>
                <c:pt idx="5">
                  <c:v>100</c:v>
                </c:pt>
                <c:pt idx="6">
                  <c:v>100</c:v>
                </c:pt>
                <c:pt idx="7">
                  <c:v>100</c:v>
                </c:pt>
                <c:pt idx="8">
                  <c:v>100</c:v>
                </c:pt>
                <c:pt idx="9">
                  <c:v>100</c:v>
                </c:pt>
                <c:pt idx="10">
                  <c:v>100</c:v>
                </c:pt>
                <c:pt idx="11">
                  <c:v>100</c:v>
                </c:pt>
                <c:pt idx="12">
                  <c:v>100</c:v>
                </c:pt>
                <c:pt idx="13">
                  <c:v>100</c:v>
                </c:pt>
                <c:pt idx="14">
                  <c:v>100</c:v>
                </c:pt>
                <c:pt idx="15">
                  <c:v>100</c:v>
                </c:pt>
                <c:pt idx="16">
                  <c:v>100</c:v>
                </c:pt>
                <c:pt idx="17">
                  <c:v>100</c:v>
                </c:pt>
                <c:pt idx="18">
                  <c:v>100</c:v>
                </c:pt>
                <c:pt idx="19">
                  <c:v>100</c:v>
                </c:pt>
                <c:pt idx="20">
                  <c:v>100</c:v>
                </c:pt>
              </c:numCache>
            </c:numRef>
          </c:val>
          <c:smooth val="0"/>
          <c:extLst>
            <c:ext xmlns:c16="http://schemas.microsoft.com/office/drawing/2014/chart" uri="{C3380CC4-5D6E-409C-BE32-E72D297353CC}">
              <c16:uniqueId val="{00000016-5E59-44E9-9C7B-801CC7B80A81}"/>
            </c:ext>
          </c:extLst>
        </c:ser>
        <c:ser>
          <c:idx val="5"/>
          <c:order val="2"/>
          <c:tx>
            <c:strRef>
              <c:f>Sheet1!$G$1</c:f>
              <c:strCache>
                <c:ptCount val="1"/>
                <c:pt idx="0">
                  <c:v>10 Year Average</c:v>
                </c:pt>
              </c:strCache>
            </c:strRef>
          </c:tx>
          <c:spPr>
            <a:ln w="38100" cap="rnd">
              <a:solidFill>
                <a:schemeClr val="tx2"/>
              </a:solidFill>
              <a:round/>
            </a:ln>
            <a:effectLst/>
          </c:spPr>
          <c:marker>
            <c:symbol val="none"/>
          </c:marker>
          <c:dLbls>
            <c:dLbl>
              <c:idx val="20"/>
              <c:layout>
                <c:manualLayout>
                  <c:x val="-2.7317844686653336E-2"/>
                  <c:y val="0.10927717301139626"/>
                </c:manualLayout>
              </c:layout>
              <c:tx>
                <c:rich>
                  <a:bodyPr rot="0" spcFirstLastPara="1" vertOverflow="ellipsis" vert="horz" wrap="square" lIns="38100" tIns="19050" rIns="38100" bIns="19050" anchor="ctr" anchorCtr="1">
                    <a:noAutofit/>
                  </a:bodyPr>
                  <a:lstStyle/>
                  <a:p>
                    <a:pPr>
                      <a:defRPr sz="800" b="0" i="0" u="none" strike="noStrike" kern="1200" baseline="0">
                        <a:solidFill>
                          <a:schemeClr val="accent3"/>
                        </a:solidFill>
                        <a:latin typeface="+mn-lt"/>
                        <a:ea typeface="+mn-ea"/>
                        <a:cs typeface="+mn-cs"/>
                      </a:defRPr>
                    </a:pPr>
                    <a:r>
                      <a:rPr lang="en-US" sz="800" dirty="0">
                        <a:solidFill>
                          <a:schemeClr val="accent3"/>
                        </a:solidFill>
                      </a:rPr>
                      <a:t>10 Year Average = </a:t>
                    </a:r>
                    <a:fld id="{D3BC530D-92C3-451A-8D55-69F6F9696F0D}" type="VALUE">
                      <a:rPr lang="en-US" sz="800" smtClean="0">
                        <a:solidFill>
                          <a:schemeClr val="accent3"/>
                        </a:solidFill>
                      </a:rPr>
                      <a:pPr>
                        <a:defRPr sz="800">
                          <a:solidFill>
                            <a:schemeClr val="accent3"/>
                          </a:solidFill>
                        </a:defRPr>
                      </a:pPr>
                      <a:t>[VALUE]</a:t>
                    </a:fld>
                    <a:endParaRPr lang="en-US" sz="800" dirty="0">
                      <a:solidFill>
                        <a:schemeClr val="accent3"/>
                      </a:solidFill>
                    </a:endParaRPr>
                  </a:p>
                </c:rich>
              </c:tx>
              <c:spPr>
                <a:solidFill>
                  <a:schemeClr val="bg1"/>
                </a:solidFill>
                <a:ln>
                  <a:noFill/>
                </a:ln>
                <a:effectLst/>
              </c:spPr>
              <c:txPr>
                <a:bodyPr rot="0" spcFirstLastPara="1" vertOverflow="ellipsis" vert="horz" wrap="square" lIns="38100" tIns="19050" rIns="38100" bIns="19050" anchor="ctr" anchorCtr="1">
                  <a:noAutofit/>
                </a:bodyPr>
                <a:lstStyle/>
                <a:p>
                  <a:pPr>
                    <a:defRPr sz="800" b="0" i="0" u="none" strike="noStrike" kern="1200" baseline="0">
                      <a:solidFill>
                        <a:schemeClr val="accent3"/>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26316660007572173"/>
                      <c:h val="0.13776337115072934"/>
                    </c:manualLayout>
                  </c15:layout>
                  <c15:dlblFieldTable/>
                  <c15:showDataLabelsRange val="0"/>
                </c:ext>
                <c:ext xmlns:c16="http://schemas.microsoft.com/office/drawing/2014/chart" uri="{C3380CC4-5D6E-409C-BE32-E72D297353CC}">
                  <c16:uniqueId val="{00000017-5E59-44E9-9C7B-801CC7B80A81}"/>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accent3"/>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numRef>
              <c:f>Sheet1!$A$31:$A$51</c:f>
              <c:numCache>
                <c:formatCode>General</c:formatCode>
                <c:ptCount val="21"/>
                <c:pt idx="0">
                  <c:v>2004</c:v>
                </c:pt>
                <c:pt idx="1">
                  <c:v>2005</c:v>
                </c:pt>
                <c:pt idx="2">
                  <c:v>2006</c:v>
                </c:pt>
                <c:pt idx="3">
                  <c:v>2007</c:v>
                </c:pt>
                <c:pt idx="4">
                  <c:v>2008</c:v>
                </c:pt>
                <c:pt idx="5">
                  <c:v>2009</c:v>
                </c:pt>
                <c:pt idx="6">
                  <c:v>2010</c:v>
                </c:pt>
                <c:pt idx="7">
                  <c:v>2011</c:v>
                </c:pt>
                <c:pt idx="8">
                  <c:v>2012</c:v>
                </c:pt>
                <c:pt idx="9">
                  <c:v>2013</c:v>
                </c:pt>
                <c:pt idx="10">
                  <c:v>2014</c:v>
                </c:pt>
                <c:pt idx="11">
                  <c:v>2015</c:v>
                </c:pt>
                <c:pt idx="12">
                  <c:v>2016</c:v>
                </c:pt>
                <c:pt idx="13">
                  <c:v>2017</c:v>
                </c:pt>
                <c:pt idx="14">
                  <c:v>2018</c:v>
                </c:pt>
                <c:pt idx="15">
                  <c:v>2019</c:v>
                </c:pt>
                <c:pt idx="16">
                  <c:v>2020</c:v>
                </c:pt>
                <c:pt idx="17">
                  <c:v>2021</c:v>
                </c:pt>
                <c:pt idx="18">
                  <c:v>2022</c:v>
                </c:pt>
                <c:pt idx="19">
                  <c:v>2023</c:v>
                </c:pt>
                <c:pt idx="20">
                  <c:v>2024</c:v>
                </c:pt>
              </c:numCache>
            </c:numRef>
          </c:cat>
          <c:val>
            <c:numRef>
              <c:f>Sheet1!$G$31:$G$51</c:f>
              <c:numCache>
                <c:formatCode>General</c:formatCode>
                <c:ptCount val="21"/>
                <c:pt idx="11">
                  <c:v>97.509999999999991</c:v>
                </c:pt>
                <c:pt idx="12">
                  <c:v>97.509999999999991</c:v>
                </c:pt>
                <c:pt idx="13">
                  <c:v>97.509999999999991</c:v>
                </c:pt>
                <c:pt idx="14">
                  <c:v>97.509999999999991</c:v>
                </c:pt>
                <c:pt idx="15">
                  <c:v>97.509999999999991</c:v>
                </c:pt>
                <c:pt idx="16">
                  <c:v>97.509999999999991</c:v>
                </c:pt>
                <c:pt idx="17">
                  <c:v>97.509999999999991</c:v>
                </c:pt>
                <c:pt idx="18">
                  <c:v>97.509999999999991</c:v>
                </c:pt>
                <c:pt idx="19">
                  <c:v>97.509999999999991</c:v>
                </c:pt>
                <c:pt idx="20">
                  <c:v>97.509999999999991</c:v>
                </c:pt>
              </c:numCache>
            </c:numRef>
          </c:val>
          <c:smooth val="0"/>
          <c:extLst>
            <c:ext xmlns:c16="http://schemas.microsoft.com/office/drawing/2014/chart" uri="{C3380CC4-5D6E-409C-BE32-E72D297353CC}">
              <c16:uniqueId val="{00000018-5E59-44E9-9C7B-801CC7B80A81}"/>
            </c:ext>
          </c:extLst>
        </c:ser>
        <c:dLbls>
          <c:showLegendKey val="0"/>
          <c:showVal val="0"/>
          <c:showCatName val="0"/>
          <c:showSerName val="0"/>
          <c:showPercent val="0"/>
          <c:showBubbleSize val="0"/>
        </c:dLbls>
        <c:smooth val="0"/>
        <c:axId val="742606240"/>
        <c:axId val="742612480"/>
      </c:lineChart>
      <c:catAx>
        <c:axId val="742606240"/>
        <c:scaling>
          <c:orientation val="minMax"/>
        </c:scaling>
        <c:delete val="1"/>
        <c:axPos val="b"/>
        <c:numFmt formatCode="General" sourceLinked="1"/>
        <c:majorTickMark val="none"/>
        <c:minorTickMark val="none"/>
        <c:tickLblPos val="nextTo"/>
        <c:crossAx val="742612480"/>
        <c:crosses val="autoZero"/>
        <c:auto val="1"/>
        <c:lblAlgn val="ctr"/>
        <c:lblOffset val="100"/>
        <c:tickLblSkip val="4"/>
        <c:noMultiLvlLbl val="0"/>
      </c:catAx>
      <c:valAx>
        <c:axId val="742612480"/>
        <c:scaling>
          <c:orientation val="minMax"/>
          <c:max val="130"/>
          <c:min val="8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accent3"/>
                </a:solidFill>
                <a:latin typeface="+mn-lt"/>
                <a:ea typeface="+mn-ea"/>
                <a:cs typeface="+mn-cs"/>
              </a:defRPr>
            </a:pPr>
            <a:endParaRPr lang="en-US"/>
          </a:p>
        </c:txPr>
        <c:crossAx val="742606240"/>
        <c:crosses val="autoZero"/>
        <c:crossBetween val="between"/>
        <c:majorUnit val="20"/>
        <c:minorUnit val="10"/>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1197"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1197"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1197"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2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2BC19882034A1F9989DF526376C839"/>
        <w:category>
          <w:name w:val="General"/>
          <w:gallery w:val="placeholder"/>
        </w:category>
        <w:types>
          <w:type w:val="bbPlcHdr"/>
        </w:types>
        <w:behaviors>
          <w:behavior w:val="content"/>
        </w:behaviors>
        <w:guid w:val="{DA87A190-5D09-4FB5-A27E-4DD990D538DD}"/>
      </w:docPartPr>
      <w:docPartBody>
        <w:p w:rsidR="00CD03B5" w:rsidRDefault="002E08E7">
          <w:r w:rsidRPr="00612B47">
            <w:rPr>
              <w:rStyle w:val="PlaceholderText"/>
            </w:rPr>
            <w:t>[Title]</w:t>
          </w:r>
        </w:p>
      </w:docPartBody>
    </w:docPart>
    <w:docPart>
      <w:docPartPr>
        <w:name w:val="390659AA61A84F19B7072A6CAE5DC740"/>
        <w:category>
          <w:name w:val="General"/>
          <w:gallery w:val="placeholder"/>
        </w:category>
        <w:types>
          <w:type w:val="bbPlcHdr"/>
        </w:types>
        <w:behaviors>
          <w:behavior w:val="content"/>
        </w:behaviors>
        <w:guid w:val="{98878C8D-EDA8-4740-8AC1-5A55B873C3C2}"/>
      </w:docPartPr>
      <w:docPartBody>
        <w:p w:rsidR="00CD03B5" w:rsidRDefault="002E08E7">
          <w:r w:rsidRPr="00612B47">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IBM Plex Sans">
    <w:panose1 w:val="020B0503050203000203"/>
    <w:charset w:val="00"/>
    <w:family w:val="swiss"/>
    <w:pitch w:val="variable"/>
    <w:sig w:usb0="A00002EF" w:usb1="5000203B" w:usb2="00000000" w:usb3="00000000" w:csb0="0000019F" w:csb1="00000000"/>
  </w:font>
  <w:font w:name="Inter">
    <w:panose1 w:val="02000503000000020004"/>
    <w:charset w:val="00"/>
    <w:family w:val="auto"/>
    <w:pitch w:val="variable"/>
    <w:sig w:usb0="E00002FF" w:usb1="1200A1FF" w:usb2="00000000" w:usb3="00000000" w:csb0="0000019F" w:csb1="00000000"/>
  </w:font>
  <w:font w:name="Inter ExtraBold">
    <w:panose1 w:val="02000503000000020004"/>
    <w:charset w:val="00"/>
    <w:family w:val="auto"/>
    <w:pitch w:val="variable"/>
    <w:sig w:usb0="E00002FF" w:usb1="1200A1FF" w:usb2="00000000" w:usb3="00000000" w:csb0="0000019F" w:csb1="00000000"/>
  </w:font>
  <w:font w:name="IBM Plex Sans SemiBold">
    <w:panose1 w:val="020B0503050203000203"/>
    <w:charset w:val="00"/>
    <w:family w:val="swiss"/>
    <w:pitch w:val="variable"/>
    <w:sig w:usb0="A00002EF" w:usb1="5000203B" w:usb2="00000000" w:usb3="00000000" w:csb0="0000019F" w:csb1="00000000"/>
  </w:font>
  <w:font w:name="IBM Plex Sans Light">
    <w:panose1 w:val="020B0503050203000203"/>
    <w:charset w:val="00"/>
    <w:family w:val="swiss"/>
    <w:pitch w:val="variable"/>
    <w:sig w:usb0="A00002EF" w:usb1="5000203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IBM Plex Sans Medium">
    <w:panose1 w:val="020B0503050203000203"/>
    <w:charset w:val="00"/>
    <w:family w:val="swiss"/>
    <w:pitch w:val="variable"/>
    <w:sig w:usb0="A00002EF" w:usb1="5000203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E7"/>
    <w:rsid w:val="002E08E7"/>
    <w:rsid w:val="004A6260"/>
    <w:rsid w:val="006F4163"/>
    <w:rsid w:val="008D3614"/>
    <w:rsid w:val="00927FAB"/>
    <w:rsid w:val="00CD03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08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enerate_Pallete">
      <a:dk1>
        <a:srgbClr val="0A1A2F"/>
      </a:dk1>
      <a:lt1>
        <a:srgbClr val="FFFFFF"/>
      </a:lt1>
      <a:dk2>
        <a:srgbClr val="0A1A2F"/>
      </a:dk2>
      <a:lt2>
        <a:srgbClr val="E8E3DA"/>
      </a:lt2>
      <a:accent1>
        <a:srgbClr val="0B3954"/>
      </a:accent1>
      <a:accent2>
        <a:srgbClr val="0599AD"/>
      </a:accent2>
      <a:accent3>
        <a:srgbClr val="000000"/>
      </a:accent3>
      <a:accent4>
        <a:srgbClr val="E8E3DA"/>
      </a:accent4>
      <a:accent5>
        <a:srgbClr val="7A766F"/>
      </a:accent5>
      <a:accent6>
        <a:srgbClr val="39D3BA"/>
      </a:accent6>
      <a:hlink>
        <a:srgbClr val="467886"/>
      </a:hlink>
      <a:folHlink>
        <a:srgbClr val="70485D"/>
      </a:folHlink>
    </a:clrScheme>
    <a:fontScheme name="Generate_Fonts">
      <a:majorFont>
        <a:latin typeface="Inter"/>
        <a:ea typeface=""/>
        <a:cs typeface=""/>
      </a:majorFont>
      <a:minorFont>
        <a:latin typeface="IBM Plex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B0CFCD-5D45-413C-BFAA-E9673E250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12</Pages>
  <Words>3021</Words>
  <Characters>21361</Characters>
  <Application>Microsoft Office Word</Application>
  <DocSecurity>0</DocSecurity>
  <Lines>3051</Lines>
  <Paragraphs>1219</Paragraphs>
  <ScaleCrop>false</ScaleCrop>
  <HeadingPairs>
    <vt:vector size="2" baseType="variant">
      <vt:variant>
        <vt:lpstr>Title</vt:lpstr>
      </vt:variant>
      <vt:variant>
        <vt:i4>1</vt:i4>
      </vt:variant>
    </vt:vector>
  </HeadingPairs>
  <TitlesOfParts>
    <vt:vector size="1" baseType="lpstr">
      <vt:lpstr>Digital Signal Intelligence</vt:lpstr>
    </vt:vector>
  </TitlesOfParts>
  <Company/>
  <LinksUpToDate>false</LinksUpToDate>
  <CharactersWithSpaces>23163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Signal Intelligence</dc:title>
  <dc:subject>White paper</dc:subject>
  <dc:creator>John Walker</dc:creator>
  <cp:keywords/>
  <dc:description/>
  <cp:lastModifiedBy>John Walker</cp:lastModifiedBy>
  <cp:revision>7</cp:revision>
  <cp:lastPrinted>2026-01-08T12:13:00Z</cp:lastPrinted>
  <dcterms:created xsi:type="dcterms:W3CDTF">2026-01-12T11:05:00Z</dcterms:created>
  <dcterms:modified xsi:type="dcterms:W3CDTF">2026-01-12T12:07:00Z</dcterms:modified>
</cp:coreProperties>
</file>