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24242312"/>
        <w:docPartObj>
          <w:docPartGallery w:val="Cover Pages"/>
          <w:docPartUnique/>
        </w:docPartObj>
      </w:sdtPr>
      <w:sdtContent>
        <w:p w14:paraId="7FB70701" w14:textId="77777777" w:rsidR="006F5D5B" w:rsidRDefault="006F5D5B"/>
        <w:p w14:paraId="03E2889D" w14:textId="77777777" w:rsidR="006F5D5B" w:rsidRDefault="006F5D5B"/>
        <w:p w14:paraId="1C581FAF" w14:textId="77777777" w:rsidR="006F5D5B" w:rsidRDefault="006F5D5B"/>
        <w:p w14:paraId="3DBE658D" w14:textId="249FAA61" w:rsidR="006F5D5B" w:rsidRDefault="006F5D5B">
          <w:r>
            <w:rPr>
              <w:noProof/>
            </w:rPr>
            <w:drawing>
              <wp:inline distT="0" distB="0" distL="0" distR="0" wp14:anchorId="19CDA71D" wp14:editId="72D9D375">
                <wp:extent cx="2933626" cy="971550"/>
                <wp:effectExtent l="0" t="0" r="0" b="0"/>
                <wp:docPr id="995200364"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0364" name="Picture 3">
                          <a:extLst>
                            <a:ext uri="{C183D7F6-B498-43B3-948B-1728B52AA6E4}">
                              <adec:decorative xmlns:adec="http://schemas.microsoft.com/office/drawing/2017/decorative" val="1"/>
                            </a:ext>
                          </a:extLst>
                        </pic:cNvPr>
                        <pic:cNvPicPr/>
                      </pic:nvPicPr>
                      <pic:blipFill rotWithShape="1">
                        <a:blip r:embed="rId8" cstate="print">
                          <a:extLst>
                            <a:ext uri="{28A0092B-C50C-407E-A947-70E740481C1C}">
                              <a14:useLocalDpi xmlns:a14="http://schemas.microsoft.com/office/drawing/2010/main" val="0"/>
                            </a:ext>
                          </a:extLst>
                        </a:blip>
                        <a:srcRect l="7534" t="35121" r="6825" b="36516"/>
                        <a:stretch>
                          <a:fillRect/>
                        </a:stretch>
                      </pic:blipFill>
                      <pic:spPr bwMode="auto">
                        <a:xfrm>
                          <a:off x="0" y="0"/>
                          <a:ext cx="2939505" cy="973497"/>
                        </a:xfrm>
                        <a:prstGeom prst="rect">
                          <a:avLst/>
                        </a:prstGeom>
                        <a:ln>
                          <a:noFill/>
                        </a:ln>
                        <a:extLst>
                          <a:ext uri="{53640926-AAD7-44D8-BBD7-CCE9431645EC}">
                            <a14:shadowObscured xmlns:a14="http://schemas.microsoft.com/office/drawing/2010/main"/>
                          </a:ext>
                        </a:extLst>
                      </pic:spPr>
                    </pic:pic>
                  </a:graphicData>
                </a:graphic>
              </wp:inline>
            </w:drawing>
          </w:r>
        </w:p>
        <w:p w14:paraId="5DE2C1CE" w14:textId="6CBFAD1A" w:rsidR="00026AC3" w:rsidRDefault="00000000">
          <w:pPr>
            <w:rPr>
              <w:rFonts w:asciiTheme="majorHAnsi" w:eastAsiaTheme="majorEastAsia" w:hAnsiTheme="majorHAnsi" w:cstheme="majorBidi"/>
              <w:color w:val="000000" w:themeColor="accent3"/>
              <w:sz w:val="28"/>
              <w:szCs w:val="32"/>
            </w:rPr>
          </w:pPr>
        </w:p>
      </w:sdtContent>
    </w:sdt>
    <w:p w14:paraId="41DE2BD3" w14:textId="35E1C1BB" w:rsidR="006F5D5B" w:rsidRPr="0038146F" w:rsidRDefault="00000000" w:rsidP="0038146F">
      <w:pPr>
        <w:pStyle w:val="Title"/>
        <w:rPr>
          <w:sz w:val="72"/>
          <w:szCs w:val="72"/>
        </w:rPr>
      </w:pPr>
      <w:sdt>
        <w:sdtPr>
          <w:rPr>
            <w:sz w:val="72"/>
            <w:szCs w:val="72"/>
          </w:rPr>
          <w:alias w:val="Title"/>
          <w:tag w:val=""/>
          <w:id w:val="1801103354"/>
          <w:placeholder>
            <w:docPart w:val="132BC19882034A1F9989DF526376C839"/>
          </w:placeholder>
          <w:dataBinding w:prefixMappings="xmlns:ns0='http://purl.org/dc/elements/1.1/' xmlns:ns1='http://schemas.openxmlformats.org/package/2006/metadata/core-properties' " w:xpath="/ns1:coreProperties[1]/ns0:title[1]" w:storeItemID="{6C3C8BC8-F283-45AE-878A-BAB7291924A1}"/>
          <w:text/>
        </w:sdtPr>
        <w:sdtContent>
          <w:r w:rsidR="0038146F" w:rsidRPr="0038146F">
            <w:rPr>
              <w:sz w:val="72"/>
              <w:szCs w:val="72"/>
            </w:rPr>
            <w:t>Digital Signal Intelligence</w:t>
          </w:r>
        </w:sdtContent>
      </w:sdt>
    </w:p>
    <w:p w14:paraId="53506E29" w14:textId="3AD2D4C3" w:rsidR="009C0690" w:rsidRPr="009C0690" w:rsidRDefault="00D44C56" w:rsidP="009C0690">
      <w:pPr>
        <w:pStyle w:val="Subtitle"/>
      </w:pPr>
      <w:r w:rsidRPr="00D44C56">
        <w:t xml:space="preserve">A New Information Substrate for </w:t>
      </w:r>
      <w:r>
        <w:t>Insurance</w:t>
      </w:r>
      <w:r w:rsidR="009C0690">
        <w:br/>
        <w:t>White paper</w:t>
      </w:r>
    </w:p>
    <w:p w14:paraId="72FB18A7" w14:textId="77777777" w:rsidR="006F5D5B" w:rsidRDefault="00000000" w:rsidP="006F5D5B">
      <w:sdt>
        <w:sdtPr>
          <w:alias w:val="Author"/>
          <w:tag w:val=""/>
          <w:id w:val="-121314205"/>
          <w:placeholder>
            <w:docPart w:val="390659AA61A84F19B7072A6CAE5DC740"/>
          </w:placeholder>
          <w:dataBinding w:prefixMappings="xmlns:ns0='http://purl.org/dc/elements/1.1/' xmlns:ns1='http://schemas.openxmlformats.org/package/2006/metadata/core-properties' " w:xpath="/ns1:coreProperties[1]/ns0:creator[1]" w:storeItemID="{6C3C8BC8-F283-45AE-878A-BAB7291924A1}"/>
          <w:text/>
        </w:sdtPr>
        <w:sdtContent>
          <w:r w:rsidR="006F5D5B">
            <w:t>John Walker</w:t>
          </w:r>
        </w:sdtContent>
      </w:sdt>
    </w:p>
    <w:p w14:paraId="107CA2D1" w14:textId="77777777" w:rsidR="006F5D5B" w:rsidRDefault="006F5D5B" w:rsidP="006F5D5B"/>
    <w:p w14:paraId="74F567A4" w14:textId="77777777" w:rsidR="00EE3FC8" w:rsidRPr="00EE3FC8" w:rsidRDefault="00EE3FC8" w:rsidP="00EE3FC8">
      <w:pPr>
        <w:rPr>
          <w:rFonts w:ascii="IBM Plex Sans Light" w:hAnsi="IBM Plex Sans Light"/>
        </w:rPr>
      </w:pPr>
      <w:r w:rsidRPr="00EE3FC8">
        <w:rPr>
          <w:rFonts w:ascii="IBM Plex Sans Light" w:hAnsi="IBM Plex Sans Light"/>
        </w:rPr>
        <w:t xml:space="preserve">Abstract:  </w:t>
      </w:r>
    </w:p>
    <w:p w14:paraId="58752B42" w14:textId="0F44AC1E" w:rsidR="006F5D5B" w:rsidRPr="00EE3FC8" w:rsidRDefault="00EE3FC8" w:rsidP="00EE3FC8">
      <w:pPr>
        <w:rPr>
          <w:rFonts w:ascii="IBM Plex Sans Light" w:hAnsi="IBM Plex Sans Light"/>
        </w:rPr>
      </w:pPr>
      <w:r w:rsidRPr="00EE3FC8">
        <w:rPr>
          <w:rFonts w:ascii="IBM Plex Sans Light" w:hAnsi="IBM Plex Sans Light"/>
        </w:rPr>
        <w:t xml:space="preserve">Digital Signal Intelligence (DSI) defines a new, externally observable information substrate for </w:t>
      </w:r>
      <w:r w:rsidRPr="00EE3FC8">
        <w:rPr>
          <w:rFonts w:ascii="IBM Plex Sans Light" w:hAnsi="IBM Plex Sans Light"/>
        </w:rPr>
        <w:t>Insurance</w:t>
      </w:r>
      <w:r w:rsidRPr="00EE3FC8">
        <w:rPr>
          <w:rFonts w:ascii="IBM Plex Sans Light" w:hAnsi="IBM Plex Sans Light"/>
        </w:rPr>
        <w:t xml:space="preserve">, enabling deterministic, autonomous risk assessment, exposure estimation, </w:t>
      </w:r>
      <w:r w:rsidRPr="00EE3FC8">
        <w:rPr>
          <w:rFonts w:ascii="IBM Plex Sans Light" w:hAnsi="IBM Plex Sans Light"/>
        </w:rPr>
        <w:t xml:space="preserve">loss analysis, </w:t>
      </w:r>
      <w:r w:rsidRPr="00EE3FC8">
        <w:rPr>
          <w:rFonts w:ascii="IBM Plex Sans Light" w:hAnsi="IBM Plex Sans Light"/>
        </w:rPr>
        <w:t>and pricing at scale.</w:t>
      </w:r>
    </w:p>
    <w:p w14:paraId="723B1027" w14:textId="77777777" w:rsidR="0098405B" w:rsidRDefault="006F5D5B" w:rsidP="0098405B">
      <w:r>
        <w:br w:type="page"/>
      </w:r>
    </w:p>
    <w:p w14:paraId="74957FE6" w14:textId="289586DE" w:rsidR="0098405B" w:rsidRDefault="00A36B8D" w:rsidP="00A36B8D">
      <w:pPr>
        <w:pStyle w:val="Heading1"/>
      </w:pPr>
      <w:r>
        <w:lastRenderedPageBreak/>
        <w:t>The Automation Myth</w:t>
      </w:r>
    </w:p>
    <w:p w14:paraId="6AC6DCDB" w14:textId="75E5F6C5" w:rsidR="00AD33EC" w:rsidRDefault="00A36B8D" w:rsidP="00A36B8D">
      <w:pPr>
        <w:pStyle w:val="Heading2"/>
      </w:pPr>
      <w:r>
        <w:t>Introduction</w:t>
      </w:r>
    </w:p>
    <w:p w14:paraId="09464560" w14:textId="798183BD" w:rsidR="00D16081" w:rsidRDefault="008D3C2C" w:rsidP="008D3C2C">
      <w:r>
        <w:t xml:space="preserve">For two decades, the insurance industry has attempted to automate the traditional underwriting process. Vendors, </w:t>
      </w:r>
      <w:r w:rsidR="00D917D4">
        <w:t>i</w:t>
      </w:r>
      <w:r w:rsidR="005521AE">
        <w:t>nsuretechs</w:t>
      </w:r>
      <w:r>
        <w:t xml:space="preserve">, and internal transformation programmes have all pursued the same objective: extract structured data from unstructured submissions, feed it into rating models, and accelerate underwriting decisions. </w:t>
      </w:r>
    </w:p>
    <w:p w14:paraId="331E9F78" w14:textId="793CA3CC" w:rsidR="008D3C2C" w:rsidRDefault="00EE3FC8" w:rsidP="008D3C2C">
      <w:r>
        <w:t>Yet</w:t>
      </w:r>
      <w:r w:rsidR="00A61D05">
        <w:t xml:space="preserve"> t</w:t>
      </w:r>
      <w:r w:rsidR="00D16081" w:rsidRPr="00D16081">
        <w:t xml:space="preserve">wenty years of Lloyd’s </w:t>
      </w:r>
      <w:r w:rsidR="005521AE">
        <w:t>combined ratios</w:t>
      </w:r>
      <w:r w:rsidR="00D16081" w:rsidRPr="00D16081">
        <w:t xml:space="preserve"> show the same truth as every major market: insurance </w:t>
      </w:r>
      <w:r w:rsidR="00A61D05">
        <w:t>is flat-lining</w:t>
      </w:r>
      <w:r w:rsidR="00D16081" w:rsidRPr="00D16081">
        <w:t>.</w:t>
      </w:r>
      <w:r w:rsidR="00A61D05">
        <w:t xml:space="preserve"> </w:t>
      </w:r>
      <w:r w:rsidR="008D3C2C">
        <w:t xml:space="preserve">Despite billions invested, the results have been marginal. </w:t>
      </w:r>
      <w:r w:rsidR="00007C76">
        <w:t>Zero-touch underwriting remains</w:t>
      </w:r>
      <w:r w:rsidR="00CA663A">
        <w:t xml:space="preserve"> out-of-reach</w:t>
      </w:r>
      <w:r w:rsidR="008D3C2C">
        <w:t xml:space="preserve">, expense ratios remain </w:t>
      </w:r>
      <w:r w:rsidR="008D3C2C">
        <w:t>stru</w:t>
      </w:r>
      <w:r w:rsidR="00A93B0D">
        <w:t xml:space="preserve">cturally </w:t>
      </w:r>
      <w:r w:rsidR="008D3C2C">
        <w:t>high, and underwriting workflows remain dependent on manual intervention.</w:t>
      </w:r>
    </w:p>
    <w:p w14:paraId="2EE8826D" w14:textId="781B44B7" w:rsidR="00B168AE" w:rsidRDefault="00C8666F" w:rsidP="008D3C2C">
      <w:r w:rsidRPr="00C8666F">
        <w:drawing>
          <wp:inline distT="0" distB="0" distL="0" distR="0" wp14:anchorId="492826FA" wp14:editId="10FFD295">
            <wp:extent cx="5731510" cy="1567180"/>
            <wp:effectExtent l="0" t="0" r="2540" b="0"/>
            <wp:docPr id="375502371" name="Chart 1">
              <a:extLst xmlns:a="http://schemas.openxmlformats.org/drawingml/2006/main">
                <a:ext uri="{FF2B5EF4-FFF2-40B4-BE49-F238E27FC236}">
                  <a16:creationId xmlns:a16="http://schemas.microsoft.com/office/drawing/2014/main" id="{50F8E392-EB8C-879B-E53D-EB3EF58FD0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38D89A4F" w14:textId="77777777" w:rsidR="008D3C2C" w:rsidRDefault="008D3C2C" w:rsidP="008D3C2C">
      <w:r>
        <w:t xml:space="preserve">The core assumption behind these efforts is that traditional underwriting inputs can be automated. </w:t>
      </w:r>
    </w:p>
    <w:p w14:paraId="68A488C3" w14:textId="77777777" w:rsidR="008D3C2C" w:rsidRDefault="008D3C2C" w:rsidP="008D3C2C">
      <w:r>
        <w:t xml:space="preserve">This assumption is incorrect. </w:t>
      </w:r>
    </w:p>
    <w:p w14:paraId="3344C284" w14:textId="0B1F864C" w:rsidR="008D3C2C" w:rsidRDefault="008D3C2C" w:rsidP="008D3C2C">
      <w:pPr>
        <w:pStyle w:val="Callout"/>
      </w:pPr>
      <w:r>
        <w:t>The inputs themselves are the constraint.</w:t>
      </w:r>
    </w:p>
    <w:p w14:paraId="4F6CEBE6" w14:textId="2E4FBE40" w:rsidR="00F51085" w:rsidRDefault="00F51085" w:rsidP="00C96B1B">
      <w:pPr>
        <w:pStyle w:val="Heading2"/>
      </w:pPr>
      <w:r>
        <w:t>The Information Substrate Problem</w:t>
      </w:r>
    </w:p>
    <w:p w14:paraId="2856B1B0" w14:textId="0AB9279B" w:rsidR="00D2147F" w:rsidRDefault="00D2147F" w:rsidP="00D2147F">
      <w:r>
        <w:t>Traditional inputs exist in infinite formats. Broker spreadsheets, PDFs, emails, and supplemental questionnaires have no canonical schema and no deterministic structure. No extraction system, including modern</w:t>
      </w:r>
      <w:r w:rsidR="00EE3FC8">
        <w:t xml:space="preserve"> or future</w:t>
      </w:r>
      <w:r>
        <w:t xml:space="preserve"> AI models, can consistently transform these artefacts into the reliable, field‑level inputs required </w:t>
      </w:r>
      <w:r w:rsidR="00FC74A7">
        <w:t>for</w:t>
      </w:r>
      <w:r w:rsidR="00007C76">
        <w:t xml:space="preserve"> zero-touch underwriting</w:t>
      </w:r>
      <w:r>
        <w:t>.</w:t>
      </w:r>
    </w:p>
    <w:p w14:paraId="4B597EE6" w14:textId="77777777" w:rsidR="00EE3FC8" w:rsidRDefault="00F51085" w:rsidP="00F51085">
      <w:r>
        <w:t xml:space="preserve">A system built on these inputs cannot achieve deterministic automation. </w:t>
      </w:r>
    </w:p>
    <w:p w14:paraId="4C23BB35" w14:textId="4943DBF1" w:rsidR="00F51085" w:rsidRDefault="00F51085" w:rsidP="00EE3FC8">
      <w:pPr>
        <w:pStyle w:val="Callout"/>
      </w:pPr>
      <w:r>
        <w:t>To enable autonomous underwriting, the information substrate must change.</w:t>
      </w:r>
    </w:p>
    <w:p w14:paraId="368C5481" w14:textId="4C47D5A6" w:rsidR="00F51085" w:rsidRDefault="00F51085" w:rsidP="00C96B1B">
      <w:pPr>
        <w:pStyle w:val="Heading2"/>
      </w:pPr>
      <w:r>
        <w:t>Digital Signal Intelligence</w:t>
      </w:r>
    </w:p>
    <w:p w14:paraId="40929D0C" w14:textId="77777777" w:rsidR="00F51085" w:rsidRDefault="00F51085" w:rsidP="00F51085">
      <w:r>
        <w:t>Digital Signal Intelligence (DSI) replaces self‑reported inputs with externally observable digital signals that describe how an organisation behaves, how it operates, and how it is connected to the digital ecosystem. These signals are structured, verifiable, and machine‑readable by design.</w:t>
      </w:r>
    </w:p>
    <w:p w14:paraId="6A15B859" w14:textId="77777777" w:rsidR="00EB6FA9" w:rsidRDefault="00F51085" w:rsidP="00B3420F">
      <w:pPr>
        <w:pStyle w:val="Callout"/>
      </w:pPr>
      <w:r>
        <w:t xml:space="preserve">DSI provides a deterministic foundation for underwriting, enabling automated risk assessment, exposure estimation, and pricing at scale. </w:t>
      </w:r>
    </w:p>
    <w:p w14:paraId="001E673E" w14:textId="11A78D84" w:rsidR="006D1C7D" w:rsidRDefault="005521AE" w:rsidP="00F51085">
      <w:r w:rsidRPr="005521AE">
        <w:t>DSI is not experimental. It is based on the same network‑based principles that underpin modern search and recommendation systems, beginning with Google’s PageRank in 1998.</w:t>
      </w:r>
    </w:p>
    <w:p w14:paraId="31C035CD" w14:textId="13A37078" w:rsidR="00F51085" w:rsidRDefault="00F51085" w:rsidP="00F51085">
      <w:r>
        <w:t>Th</w:t>
      </w:r>
      <w:r w:rsidR="00EB6FA9">
        <w:t>is</w:t>
      </w:r>
      <w:r>
        <w:t xml:space="preserve"> paper defines the DSI methodology, the principles that govern it, the architecture that implements it, and the economic impact it delivers.</w:t>
      </w:r>
    </w:p>
    <w:p w14:paraId="72EB7E02" w14:textId="5173BA93" w:rsidR="00F51085" w:rsidRDefault="00F51085" w:rsidP="00C96B1B">
      <w:pPr>
        <w:pStyle w:val="Heading1"/>
      </w:pPr>
      <w:r>
        <w:lastRenderedPageBreak/>
        <w:t>The Core Thesis</w:t>
      </w:r>
    </w:p>
    <w:p w14:paraId="4F4E0DAF" w14:textId="77777777" w:rsidR="00F51085" w:rsidRDefault="00F51085" w:rsidP="00F51085">
      <w:r>
        <w:t>Insurance underwriting requires understanding two properties of an organisation:</w:t>
      </w:r>
    </w:p>
    <w:p w14:paraId="5C6F0B44" w14:textId="63ECC6B6" w:rsidR="00F51085" w:rsidRDefault="00F51085" w:rsidP="004F7F49">
      <w:pPr>
        <w:pStyle w:val="ListParagraph"/>
        <w:numPr>
          <w:ilvl w:val="0"/>
          <w:numId w:val="40"/>
        </w:numPr>
      </w:pPr>
      <w:r>
        <w:t>How well it is managed</w:t>
      </w:r>
    </w:p>
    <w:p w14:paraId="20C0FCD8" w14:textId="0D901215" w:rsidR="00F51085" w:rsidRDefault="00F51085" w:rsidP="004F7F49">
      <w:pPr>
        <w:pStyle w:val="ListParagraph"/>
        <w:numPr>
          <w:ilvl w:val="0"/>
          <w:numId w:val="40"/>
        </w:numPr>
      </w:pPr>
      <w:r>
        <w:t xml:space="preserve">How it </w:t>
      </w:r>
      <w:r w:rsidR="004F7F49">
        <w:t>behave</w:t>
      </w:r>
      <w:r w:rsidR="00EE3FC8">
        <w:t>s</w:t>
      </w:r>
      <w:r>
        <w:t xml:space="preserve"> over time</w:t>
      </w:r>
    </w:p>
    <w:p w14:paraId="6DE70EAB" w14:textId="28163DFF" w:rsidR="00333349" w:rsidRDefault="00F51085" w:rsidP="00F51085">
      <w:r>
        <w:t>Traditional underwriting attempts to infer these properties from self‑reported documents</w:t>
      </w:r>
      <w:r w:rsidR="004F7F49">
        <w:t>, which are</w:t>
      </w:r>
      <w:r>
        <w:t xml:space="preserve"> subjective, inconsistent, and non‑verifiable. </w:t>
      </w:r>
    </w:p>
    <w:p w14:paraId="604942DA" w14:textId="398CE983" w:rsidR="00F51085" w:rsidRDefault="00F51085" w:rsidP="00F51085">
      <w:r>
        <w:t>DSI replaces them with observable digital signals.</w:t>
      </w:r>
    </w:p>
    <w:p w14:paraId="46A251A8" w14:textId="77777777" w:rsidR="00EE3FC8" w:rsidRDefault="00EE3FC8" w:rsidP="00EE3FC8">
      <w:r>
        <w:t>All organisations operate within a digital ecosystem. Their participation in networks of clients, suppliers, partners, regulators, and certification bodies creates a citation network revealing trust and standing. Their digital trail of operational discipline provides a reliable proxy for maturity. Their hiring activity and investor communications reveal financial performance. Even the absence of expected signals is meaningful because well‑run companies are predictable and uniform.</w:t>
      </w:r>
    </w:p>
    <w:p w14:paraId="581E0EBD" w14:textId="5762F7C4" w:rsidR="00F51085" w:rsidRDefault="00EE3FC8" w:rsidP="00EE3FC8">
      <w:r>
        <w:t>DSI uses these observable signals to create a deterministic, machine‑readable foundation for underwriting without requiring self‑reported input.</w:t>
      </w:r>
    </w:p>
    <w:p w14:paraId="59E0AB31" w14:textId="77777777" w:rsidR="005521AE" w:rsidRDefault="005521AE" w:rsidP="005521AE">
      <w:pPr>
        <w:pStyle w:val="Heading1"/>
      </w:pPr>
      <w:r>
        <w:t>Key Terminology</w:t>
      </w:r>
    </w:p>
    <w:p w14:paraId="1B146A45" w14:textId="77777777" w:rsidR="005521AE" w:rsidRDefault="005521AE" w:rsidP="00581470">
      <w:pPr>
        <w:pStyle w:val="ListParagraph"/>
        <w:numPr>
          <w:ilvl w:val="0"/>
          <w:numId w:val="49"/>
        </w:numPr>
      </w:pPr>
      <w:r w:rsidRPr="00FF142A">
        <w:rPr>
          <w:rFonts w:ascii="IBM Plex Sans SemiBold" w:hAnsi="IBM Plex Sans SemiBold"/>
        </w:rPr>
        <w:t>Coverage.</w:t>
      </w:r>
      <w:r>
        <w:t xml:space="preserve"> </w:t>
      </w:r>
      <w:r>
        <w:br/>
        <w:t>A coverage is a defined insurance product (e.g., Cyber, D&amp;O, Marine Hull). Each coverage contains one or more configurations.</w:t>
      </w:r>
    </w:p>
    <w:p w14:paraId="793D8904" w14:textId="1E91D9C9" w:rsidR="005521AE" w:rsidRDefault="005521AE" w:rsidP="00581470">
      <w:pPr>
        <w:pStyle w:val="ListParagraph"/>
        <w:numPr>
          <w:ilvl w:val="0"/>
          <w:numId w:val="49"/>
        </w:numPr>
      </w:pPr>
      <w:r w:rsidRPr="00FF142A">
        <w:rPr>
          <w:rFonts w:ascii="IBM Plex Sans SemiBold" w:hAnsi="IBM Plex Sans SemiBold"/>
        </w:rPr>
        <w:t xml:space="preserve">Configuration. </w:t>
      </w:r>
      <w:r w:rsidRPr="00FF142A">
        <w:rPr>
          <w:rFonts w:ascii="IBM Plex Sans SemiBold" w:hAnsi="IBM Plex Sans SemiBold"/>
        </w:rPr>
        <w:br/>
      </w:r>
      <w:r>
        <w:t>A configuration is the complete specification of a model for a given coverage. It defines: the signals used, the scoring algorithms, the weightings, the tier thresholds, the pricing logic, the decision rules. A configuration is the single source of truth for how a model operates.</w:t>
      </w:r>
    </w:p>
    <w:p w14:paraId="48BE683F" w14:textId="77777777" w:rsidR="005521AE" w:rsidRDefault="005521AE" w:rsidP="00581470">
      <w:pPr>
        <w:pStyle w:val="ListParagraph"/>
        <w:numPr>
          <w:ilvl w:val="0"/>
          <w:numId w:val="49"/>
        </w:numPr>
      </w:pPr>
      <w:r w:rsidRPr="00FF142A">
        <w:rPr>
          <w:rFonts w:ascii="IBM Plex Sans SemiBold" w:hAnsi="IBM Plex Sans SemiBold"/>
        </w:rPr>
        <w:t xml:space="preserve">Model Cycle. </w:t>
      </w:r>
      <w:r w:rsidRPr="00FF142A">
        <w:rPr>
          <w:rFonts w:ascii="IBM Plex Sans SemiBold" w:hAnsi="IBM Plex Sans SemiBold"/>
        </w:rPr>
        <w:br/>
      </w:r>
      <w:r>
        <w:t>A model cycle is a complete execution of a configuration against a submission. Each cycle produces: a full signal extraction, a composite score, a risk tier, (optionally) an exposure band and complexity category, a pricing output, a decision. Every cycle is persisted as a Model Version, ensuring full auditability.</w:t>
      </w:r>
    </w:p>
    <w:p w14:paraId="4BB21439" w14:textId="77777777" w:rsidR="005521AE" w:rsidRDefault="005521AE" w:rsidP="00581470">
      <w:pPr>
        <w:pStyle w:val="ListParagraph"/>
        <w:numPr>
          <w:ilvl w:val="0"/>
          <w:numId w:val="49"/>
        </w:numPr>
      </w:pPr>
      <w:r w:rsidRPr="00FF142A">
        <w:rPr>
          <w:rFonts w:ascii="IBM Plex Sans SemiBold" w:hAnsi="IBM Plex Sans SemiBold"/>
        </w:rPr>
        <w:t xml:space="preserve">Signal. </w:t>
      </w:r>
      <w:r w:rsidRPr="00FF142A">
        <w:rPr>
          <w:rFonts w:ascii="IBM Plex Sans SemiBold" w:hAnsi="IBM Plex Sans SemiBold"/>
        </w:rPr>
        <w:br/>
      </w:r>
      <w:r>
        <w:t>A measurable, externally observable data point used in scoring. Signals are normalised to a 0–100 scale.</w:t>
      </w:r>
    </w:p>
    <w:p w14:paraId="09BEB8A9" w14:textId="77777777" w:rsidR="005521AE" w:rsidRDefault="005521AE" w:rsidP="00581470">
      <w:pPr>
        <w:pStyle w:val="ListParagraph"/>
        <w:numPr>
          <w:ilvl w:val="0"/>
          <w:numId w:val="49"/>
        </w:numPr>
      </w:pPr>
      <w:r w:rsidRPr="00FF142A">
        <w:rPr>
          <w:rFonts w:ascii="IBM Plex Sans SemiBold" w:hAnsi="IBM Plex Sans SemiBold"/>
        </w:rPr>
        <w:t xml:space="preserve">Composite Score. </w:t>
      </w:r>
      <w:r w:rsidRPr="00FF142A">
        <w:rPr>
          <w:rFonts w:ascii="IBM Plex Sans SemiBold" w:hAnsi="IBM Plex Sans SemiBold"/>
        </w:rPr>
        <w:br/>
      </w:r>
      <w:r>
        <w:t>A weighted aggregation of signals normalised to a 0–1000 scale. Composite scores map directly to risk tiers.</w:t>
      </w:r>
    </w:p>
    <w:p w14:paraId="74BED8B9" w14:textId="6F92D49A" w:rsidR="005521AE" w:rsidRDefault="005521AE" w:rsidP="00581470">
      <w:pPr>
        <w:pStyle w:val="ListParagraph"/>
        <w:numPr>
          <w:ilvl w:val="0"/>
          <w:numId w:val="49"/>
        </w:numPr>
      </w:pPr>
      <w:r w:rsidRPr="00FF142A">
        <w:rPr>
          <w:rFonts w:ascii="IBM Plex Sans SemiBold" w:hAnsi="IBM Plex Sans SemiBold"/>
        </w:rPr>
        <w:t xml:space="preserve">Risk Tier. </w:t>
      </w:r>
      <w:r w:rsidRPr="00FF142A">
        <w:rPr>
          <w:rFonts w:ascii="IBM Plex Sans SemiBold" w:hAnsi="IBM Plex Sans SemiBold"/>
        </w:rPr>
        <w:br/>
      </w:r>
      <w:r>
        <w:t>A discrete classification (</w:t>
      </w:r>
      <w:r w:rsidRPr="005521AE">
        <w:t>typically Tier 1–5</w:t>
      </w:r>
      <w:r>
        <w:t xml:space="preserve">) </w:t>
      </w:r>
      <w:r>
        <w:t>representing risk quality. Tiers drive pricing and decision logic.</w:t>
      </w:r>
    </w:p>
    <w:p w14:paraId="588D2D49" w14:textId="77777777" w:rsidR="005521AE" w:rsidRDefault="005521AE" w:rsidP="00581470">
      <w:pPr>
        <w:pStyle w:val="ListParagraph"/>
        <w:numPr>
          <w:ilvl w:val="0"/>
          <w:numId w:val="49"/>
        </w:numPr>
      </w:pPr>
      <w:r w:rsidRPr="00FF142A">
        <w:rPr>
          <w:rFonts w:ascii="IBM Plex Sans SemiBold" w:hAnsi="IBM Plex Sans SemiBold"/>
        </w:rPr>
        <w:t xml:space="preserve">Exposure Band. </w:t>
      </w:r>
      <w:r w:rsidRPr="00FF142A">
        <w:rPr>
          <w:rFonts w:ascii="IBM Plex Sans SemiBold" w:hAnsi="IBM Plex Sans SemiBold"/>
        </w:rPr>
        <w:br/>
      </w:r>
      <w:r>
        <w:t>A classification of exposure magnitude (micro → very large), inferred from observable signals.</w:t>
      </w:r>
    </w:p>
    <w:p w14:paraId="3B0F41EE" w14:textId="77777777" w:rsidR="005521AE" w:rsidRDefault="005521AE" w:rsidP="00581470">
      <w:pPr>
        <w:pStyle w:val="ListParagraph"/>
        <w:numPr>
          <w:ilvl w:val="0"/>
          <w:numId w:val="49"/>
        </w:numPr>
      </w:pPr>
      <w:r w:rsidRPr="00FF142A">
        <w:rPr>
          <w:rFonts w:ascii="IBM Plex Sans SemiBold" w:hAnsi="IBM Plex Sans SemiBold"/>
        </w:rPr>
        <w:t>Complexity Category.</w:t>
      </w:r>
      <w:r>
        <w:t xml:space="preserve"> </w:t>
      </w:r>
      <w:r>
        <w:br/>
        <w:t>A classification of exposure complexity (simple → highly complex), inferred from observable signals.</w:t>
      </w:r>
    </w:p>
    <w:p w14:paraId="7A459136" w14:textId="306F1B9A" w:rsidR="005521AE" w:rsidRDefault="005521AE" w:rsidP="00581470">
      <w:pPr>
        <w:pStyle w:val="ListParagraph"/>
        <w:numPr>
          <w:ilvl w:val="0"/>
          <w:numId w:val="49"/>
        </w:numPr>
      </w:pPr>
      <w:r w:rsidRPr="00FF142A">
        <w:rPr>
          <w:rFonts w:ascii="IBM Plex Sans SemiBold" w:hAnsi="IBM Plex Sans SemiBold"/>
        </w:rPr>
        <w:lastRenderedPageBreak/>
        <w:t>Deterministic Adjustments.</w:t>
      </w:r>
      <w:r>
        <w:t xml:space="preserve"> </w:t>
      </w:r>
      <w:r>
        <w:br/>
      </w:r>
      <w:r w:rsidR="005C1735" w:rsidRPr="005C1735">
        <w:t>Explicit, rule‑based modifiers applied after tier assignment, defined in the configuration. No subjective adjustments are permitted.</w:t>
      </w:r>
    </w:p>
    <w:p w14:paraId="6BBF09CD" w14:textId="61C9155E" w:rsidR="00F51085" w:rsidRDefault="00F51085" w:rsidP="00C96B1B">
      <w:pPr>
        <w:pStyle w:val="Heading1"/>
      </w:pPr>
      <w:r>
        <w:t>Foundational Principles</w:t>
      </w:r>
    </w:p>
    <w:p w14:paraId="15B7D27B" w14:textId="440ABDA4" w:rsidR="00EE4A38" w:rsidRDefault="00EE3FC8" w:rsidP="00F51085">
      <w:r w:rsidRPr="00EE3FC8">
        <w:t>To ensure DSI operates consistently and autonomously, ten mandatory principles define the methodology:</w:t>
      </w:r>
    </w:p>
    <w:p w14:paraId="7E23AE67" w14:textId="16E1A52C" w:rsidR="00F51085" w:rsidRDefault="00F51085" w:rsidP="00581470">
      <w:pPr>
        <w:pStyle w:val="ListParagraph"/>
        <w:numPr>
          <w:ilvl w:val="0"/>
          <w:numId w:val="48"/>
        </w:numPr>
      </w:pPr>
      <w:r w:rsidRPr="0007440B">
        <w:rPr>
          <w:rFonts w:ascii="IBM Plex Sans SemiBold" w:hAnsi="IBM Plex Sans SemiBold"/>
        </w:rPr>
        <w:t>External Observability</w:t>
      </w:r>
      <w:r w:rsidR="0004059E" w:rsidRPr="0007440B">
        <w:rPr>
          <w:rFonts w:ascii="IBM Plex Sans SemiBold" w:hAnsi="IBM Plex Sans SemiBold"/>
        </w:rPr>
        <w:t xml:space="preserve">. </w:t>
      </w:r>
      <w:r w:rsidR="00855543" w:rsidRPr="0007440B">
        <w:rPr>
          <w:rFonts w:ascii="IBM Plex Sans SemiBold" w:hAnsi="IBM Plex Sans SemiBold"/>
        </w:rPr>
        <w:br/>
      </w:r>
      <w:r>
        <w:t xml:space="preserve">Primary signals must be obtainable without cooperation from the insured. </w:t>
      </w:r>
    </w:p>
    <w:p w14:paraId="12169239" w14:textId="2DDD7952" w:rsidR="00F51085" w:rsidRDefault="00F51085" w:rsidP="00581470">
      <w:pPr>
        <w:pStyle w:val="ListParagraph"/>
        <w:numPr>
          <w:ilvl w:val="0"/>
          <w:numId w:val="48"/>
        </w:numPr>
      </w:pPr>
      <w:r w:rsidRPr="0007440B">
        <w:rPr>
          <w:rFonts w:ascii="IBM Plex Sans SemiBold" w:hAnsi="IBM Plex Sans SemiBold"/>
        </w:rPr>
        <w:t>Machine Readability</w:t>
      </w:r>
      <w:r w:rsidR="0004059E" w:rsidRPr="0007440B">
        <w:rPr>
          <w:rFonts w:ascii="IBM Plex Sans SemiBold" w:hAnsi="IBM Plex Sans SemiBold"/>
        </w:rPr>
        <w:t>.</w:t>
      </w:r>
      <w:r w:rsidR="0004059E">
        <w:t xml:space="preserve"> </w:t>
      </w:r>
      <w:r w:rsidR="00855543">
        <w:br/>
      </w:r>
      <w:r>
        <w:t xml:space="preserve">All signals must be </w:t>
      </w:r>
      <w:r w:rsidR="00897B73">
        <w:t>analysable</w:t>
      </w:r>
      <w:r>
        <w:t xml:space="preserve"> by automated systems without human interpretation. </w:t>
      </w:r>
    </w:p>
    <w:p w14:paraId="6323224E" w14:textId="733CF2C0" w:rsidR="00F51085" w:rsidRDefault="00F51085" w:rsidP="00581470">
      <w:pPr>
        <w:pStyle w:val="ListParagraph"/>
        <w:numPr>
          <w:ilvl w:val="0"/>
          <w:numId w:val="48"/>
        </w:numPr>
      </w:pPr>
      <w:r w:rsidRPr="0007440B">
        <w:rPr>
          <w:rFonts w:ascii="IBM Plex Sans SemiBold" w:hAnsi="IBM Plex Sans SemiBold"/>
        </w:rPr>
        <w:t>Network Authority</w:t>
      </w:r>
      <w:r w:rsidR="0004059E" w:rsidRPr="0007440B">
        <w:rPr>
          <w:rFonts w:ascii="IBM Plex Sans SemiBold" w:hAnsi="IBM Plex Sans SemiBold"/>
        </w:rPr>
        <w:t xml:space="preserve">. </w:t>
      </w:r>
      <w:r w:rsidR="00855543" w:rsidRPr="0007440B">
        <w:rPr>
          <w:rFonts w:ascii="IBM Plex Sans SemiBold" w:hAnsi="IBM Plex Sans SemiBold"/>
        </w:rPr>
        <w:br/>
      </w:r>
      <w:r w:rsidR="00EE3FC8" w:rsidRPr="00EE3FC8">
        <w:t>Relationship patterns reveal quality. Models incorporate inbound authority, outbound selectivity, centrality, co‑citation, and certification relationships</w:t>
      </w:r>
      <w:r>
        <w:t>.</w:t>
      </w:r>
    </w:p>
    <w:p w14:paraId="3BDFA3D4" w14:textId="0439A7A4" w:rsidR="00F51085" w:rsidRDefault="00F51085" w:rsidP="00581470">
      <w:pPr>
        <w:pStyle w:val="ListParagraph"/>
        <w:numPr>
          <w:ilvl w:val="0"/>
          <w:numId w:val="48"/>
        </w:numPr>
      </w:pPr>
      <w:r w:rsidRPr="0007440B">
        <w:rPr>
          <w:rFonts w:ascii="IBM Plex Sans SemiBold" w:hAnsi="IBM Plex Sans SemiBold"/>
        </w:rPr>
        <w:t>Behavioural Inference Over Self</w:t>
      </w:r>
      <w:r w:rsidRPr="0007440B">
        <w:rPr>
          <w:rFonts w:ascii="IBM Plex Sans SemiBold" w:hAnsi="IBM Plex Sans SemiBold" w:cs="Cambria Math"/>
        </w:rPr>
        <w:t>‑</w:t>
      </w:r>
      <w:r w:rsidRPr="0007440B">
        <w:rPr>
          <w:rFonts w:ascii="IBM Plex Sans SemiBold" w:hAnsi="IBM Plex Sans SemiBold"/>
        </w:rPr>
        <w:t>Reporting</w:t>
      </w:r>
      <w:r w:rsidR="0004059E" w:rsidRPr="0007440B">
        <w:rPr>
          <w:rFonts w:ascii="IBM Plex Sans SemiBold" w:hAnsi="IBM Plex Sans SemiBold"/>
        </w:rPr>
        <w:t xml:space="preserve">. </w:t>
      </w:r>
      <w:r w:rsidR="00855543" w:rsidRPr="0007440B">
        <w:rPr>
          <w:rFonts w:ascii="IBM Plex Sans SemiBold" w:hAnsi="IBM Plex Sans SemiBold"/>
        </w:rPr>
        <w:br/>
      </w:r>
      <w:r>
        <w:t xml:space="preserve">Observable behaviour is weighted more heavily than stated intentions. </w:t>
      </w:r>
    </w:p>
    <w:p w14:paraId="5ED640D0" w14:textId="1EB323B6" w:rsidR="00F51085" w:rsidRDefault="00F51085" w:rsidP="00581470">
      <w:pPr>
        <w:pStyle w:val="ListParagraph"/>
        <w:numPr>
          <w:ilvl w:val="0"/>
          <w:numId w:val="48"/>
        </w:numPr>
      </w:pPr>
      <w:r w:rsidRPr="0007440B">
        <w:rPr>
          <w:rFonts w:ascii="IBM Plex Sans SemiBold" w:hAnsi="IBM Plex Sans SemiBold"/>
        </w:rPr>
        <w:t>Absence as Signal</w:t>
      </w:r>
      <w:r w:rsidR="0004059E" w:rsidRPr="0007440B">
        <w:rPr>
          <w:rFonts w:ascii="IBM Plex Sans SemiBold" w:hAnsi="IBM Plex Sans SemiBold"/>
        </w:rPr>
        <w:t xml:space="preserve">. </w:t>
      </w:r>
      <w:r w:rsidR="00855543" w:rsidRPr="0007440B">
        <w:rPr>
          <w:rFonts w:ascii="IBM Plex Sans SemiBold" w:hAnsi="IBM Plex Sans SemiBold"/>
        </w:rPr>
        <w:br/>
      </w:r>
      <w:r w:rsidR="00EE3FC8" w:rsidRPr="00EE3FC8">
        <w:t>Absence of expected signals is a measurable indicator of risk.</w:t>
      </w:r>
    </w:p>
    <w:p w14:paraId="3431DCB4" w14:textId="13AEE2B2" w:rsidR="00F51085" w:rsidRDefault="00F51085" w:rsidP="00581470">
      <w:pPr>
        <w:pStyle w:val="ListParagraph"/>
        <w:numPr>
          <w:ilvl w:val="0"/>
          <w:numId w:val="48"/>
        </w:numPr>
      </w:pPr>
      <w:r w:rsidRPr="0007440B">
        <w:rPr>
          <w:rFonts w:ascii="IBM Plex Sans SemiBold" w:hAnsi="IBM Plex Sans SemiBold"/>
        </w:rPr>
        <w:t>Structured Data Utilisation</w:t>
      </w:r>
      <w:r w:rsidR="0004059E" w:rsidRPr="0007440B">
        <w:rPr>
          <w:rFonts w:ascii="IBM Plex Sans SemiBold" w:hAnsi="IBM Plex Sans SemiBold"/>
        </w:rPr>
        <w:t xml:space="preserve">. </w:t>
      </w:r>
      <w:r w:rsidR="00855543" w:rsidRPr="0007440B">
        <w:rPr>
          <w:rFonts w:ascii="IBM Plex Sans SemiBold" w:hAnsi="IBM Plex Sans SemiBold"/>
        </w:rPr>
        <w:br/>
      </w:r>
      <w:r w:rsidR="00EE3FC8" w:rsidRPr="00EE3FC8">
        <w:t>Authoritative structured data—credit ratings, ESG scores, regulatory filings—is incorporated directly.</w:t>
      </w:r>
    </w:p>
    <w:p w14:paraId="535B3EE9" w14:textId="0F70DD2F" w:rsidR="00F51085" w:rsidRDefault="00F51085" w:rsidP="00581470">
      <w:pPr>
        <w:pStyle w:val="ListParagraph"/>
        <w:numPr>
          <w:ilvl w:val="0"/>
          <w:numId w:val="48"/>
        </w:numPr>
      </w:pPr>
      <w:r w:rsidRPr="0007440B">
        <w:rPr>
          <w:rFonts w:ascii="IBM Plex Sans SemiBold" w:hAnsi="IBM Plex Sans SemiBold"/>
        </w:rPr>
        <w:t>Minimal Direct Inquiry</w:t>
      </w:r>
      <w:r w:rsidR="0004059E" w:rsidRPr="0007440B">
        <w:rPr>
          <w:rFonts w:ascii="IBM Plex Sans SemiBold" w:hAnsi="IBM Plex Sans SemiBold"/>
        </w:rPr>
        <w:t xml:space="preserve">. </w:t>
      </w:r>
      <w:r w:rsidR="00855543" w:rsidRPr="0007440B">
        <w:rPr>
          <w:rFonts w:ascii="IBM Plex Sans SemiBold" w:hAnsi="IBM Plex Sans SemiBold"/>
        </w:rPr>
        <w:br/>
      </w:r>
      <w:r w:rsidR="00EE3FC8" w:rsidRPr="00EE3FC8">
        <w:t>Direct questions must be optional and constrained to 5–10 binary or categorical questions per line of business.</w:t>
      </w:r>
      <w:r>
        <w:t xml:space="preserve"> </w:t>
      </w:r>
    </w:p>
    <w:p w14:paraId="645BFBDB" w14:textId="6EFD595C" w:rsidR="00F51085" w:rsidRDefault="00F51085" w:rsidP="00581470">
      <w:pPr>
        <w:pStyle w:val="ListParagraph"/>
        <w:numPr>
          <w:ilvl w:val="0"/>
          <w:numId w:val="48"/>
        </w:numPr>
      </w:pPr>
      <w:r w:rsidRPr="0007440B">
        <w:rPr>
          <w:rFonts w:ascii="IBM Plex Sans SemiBold" w:hAnsi="IBM Plex Sans SemiBold"/>
        </w:rPr>
        <w:t>Organisational</w:t>
      </w:r>
      <w:r w:rsidRPr="0007440B">
        <w:rPr>
          <w:rFonts w:ascii="IBM Plex Sans SemiBold" w:hAnsi="IBM Plex Sans SemiBold" w:cs="Cambria Math"/>
        </w:rPr>
        <w:t>‑</w:t>
      </w:r>
      <w:r w:rsidRPr="0007440B">
        <w:rPr>
          <w:rFonts w:ascii="IBM Plex Sans SemiBold" w:hAnsi="IBM Plex Sans SemiBold"/>
        </w:rPr>
        <w:t>Level Assessment</w:t>
      </w:r>
      <w:r w:rsidR="0004059E" w:rsidRPr="0007440B">
        <w:rPr>
          <w:rFonts w:ascii="IBM Plex Sans SemiBold" w:hAnsi="IBM Plex Sans SemiBold"/>
        </w:rPr>
        <w:t xml:space="preserve">. </w:t>
      </w:r>
      <w:r w:rsidR="00855543" w:rsidRPr="0007440B">
        <w:rPr>
          <w:rFonts w:ascii="IBM Plex Sans SemiBold" w:hAnsi="IBM Plex Sans SemiBold"/>
        </w:rPr>
        <w:br/>
      </w:r>
      <w:r w:rsidR="00EE3FC8" w:rsidRPr="00EE3FC8">
        <w:t>Risk is assessed at the organisational level; parent behaviour is a proxy for subsidiaries and assets.</w:t>
      </w:r>
    </w:p>
    <w:p w14:paraId="6A952ED6" w14:textId="1510A3FE" w:rsidR="00F51085" w:rsidRDefault="00F51085" w:rsidP="00581470">
      <w:pPr>
        <w:pStyle w:val="ListParagraph"/>
        <w:numPr>
          <w:ilvl w:val="0"/>
          <w:numId w:val="48"/>
        </w:numPr>
      </w:pPr>
      <w:r w:rsidRPr="0007440B">
        <w:rPr>
          <w:rFonts w:ascii="IBM Plex Sans SemiBold" w:hAnsi="IBM Plex Sans SemiBold"/>
        </w:rPr>
        <w:t>Simplicity in Scoring</w:t>
      </w:r>
      <w:r w:rsidR="00855543" w:rsidRPr="0007440B">
        <w:rPr>
          <w:rFonts w:ascii="IBM Plex Sans SemiBold" w:hAnsi="IBM Plex Sans SemiBold"/>
        </w:rPr>
        <w:t xml:space="preserve">. </w:t>
      </w:r>
      <w:r w:rsidR="00BF52E5" w:rsidRPr="0007440B">
        <w:rPr>
          <w:rFonts w:ascii="IBM Plex Sans SemiBold" w:hAnsi="IBM Plex Sans SemiBold"/>
        </w:rPr>
        <w:br/>
      </w:r>
      <w:r w:rsidR="00BF52E5">
        <w:t>M</w:t>
      </w:r>
      <w:r>
        <w:t>odels follow a clear scoring flow:</w:t>
      </w:r>
      <w:r w:rsidR="00BF52E5">
        <w:t xml:space="preserve"> </w:t>
      </w:r>
      <w:r>
        <w:t>Signal → Score → Composite → Tier → Price</w:t>
      </w:r>
      <w:r w:rsidR="00BF52E5">
        <w:t xml:space="preserve">. </w:t>
      </w:r>
      <w:r w:rsidR="00EE3FC8" w:rsidRPr="00EE3FC8">
        <w:t>Composite scores always fall between 0–1000.</w:t>
      </w:r>
    </w:p>
    <w:p w14:paraId="037BD4BB" w14:textId="15852142" w:rsidR="00F51085" w:rsidRDefault="00F51085" w:rsidP="00581470">
      <w:pPr>
        <w:pStyle w:val="ListParagraph"/>
        <w:numPr>
          <w:ilvl w:val="0"/>
          <w:numId w:val="48"/>
        </w:numPr>
      </w:pPr>
      <w:r w:rsidRPr="0007440B">
        <w:rPr>
          <w:rFonts w:ascii="IBM Plex Sans SemiBold" w:hAnsi="IBM Plex Sans SemiBold"/>
        </w:rPr>
        <w:t>Agentic Readiness</w:t>
      </w:r>
      <w:r w:rsidR="00855543" w:rsidRPr="0007440B">
        <w:rPr>
          <w:rFonts w:ascii="IBM Plex Sans SemiBold" w:hAnsi="IBM Plex Sans SemiBold"/>
        </w:rPr>
        <w:t xml:space="preserve">. </w:t>
      </w:r>
      <w:r w:rsidR="00BF52E5" w:rsidRPr="0007440B">
        <w:rPr>
          <w:rFonts w:ascii="IBM Plex Sans SemiBold" w:hAnsi="IBM Plex Sans SemiBold"/>
        </w:rPr>
        <w:br/>
      </w:r>
      <w:r w:rsidR="00EE3FC8" w:rsidRPr="00EE3FC8">
        <w:t>Models must be executable by autonomous systems with deterministic scoring and defined decision logic</w:t>
      </w:r>
      <w:r>
        <w:t>.</w:t>
      </w:r>
    </w:p>
    <w:p w14:paraId="5865F374" w14:textId="28D19E39" w:rsidR="00F51085" w:rsidRDefault="00C96B1B" w:rsidP="00C96B1B">
      <w:pPr>
        <w:pStyle w:val="Heading1"/>
      </w:pPr>
      <w:r>
        <w:t>S</w:t>
      </w:r>
      <w:r w:rsidR="00F51085">
        <w:t>ignal Taxonomy</w:t>
      </w:r>
    </w:p>
    <w:p w14:paraId="0E023886" w14:textId="7FCA7FAA" w:rsidR="00507409" w:rsidRDefault="00EE3FC8" w:rsidP="00C96B1B">
      <w:pPr>
        <w:pStyle w:val="Heading2"/>
        <w:rPr>
          <w:rFonts w:asciiTheme="minorHAnsi" w:eastAsiaTheme="minorHAnsi" w:hAnsiTheme="minorHAnsi" w:cstheme="minorBidi"/>
          <w:color w:val="auto"/>
          <w:sz w:val="20"/>
          <w:szCs w:val="22"/>
        </w:rPr>
      </w:pPr>
      <w:r w:rsidRPr="00EE3FC8">
        <w:rPr>
          <w:rFonts w:asciiTheme="minorHAnsi" w:eastAsiaTheme="minorHAnsi" w:hAnsiTheme="minorHAnsi" w:cstheme="minorBidi"/>
          <w:color w:val="auto"/>
          <w:sz w:val="20"/>
          <w:szCs w:val="22"/>
        </w:rPr>
        <w:t>DSI signals fall into seven canonical categories. All models must identify which categories they employ and document the specific signals within each</w:t>
      </w:r>
      <w:r w:rsidR="00507409" w:rsidRPr="00507409">
        <w:rPr>
          <w:rFonts w:asciiTheme="minorHAnsi" w:eastAsiaTheme="minorHAnsi" w:hAnsiTheme="minorHAnsi" w:cstheme="minorBidi"/>
          <w:color w:val="auto"/>
          <w:sz w:val="20"/>
          <w:szCs w:val="22"/>
        </w:rPr>
        <w:t>.</w:t>
      </w:r>
    </w:p>
    <w:p w14:paraId="402E7FC7" w14:textId="0014F0C8" w:rsidR="00507409" w:rsidRDefault="00507409" w:rsidP="00507409">
      <w:r>
        <w:t>The seven categories are:</w:t>
      </w:r>
    </w:p>
    <w:p w14:paraId="56761003" w14:textId="67EF0892" w:rsidR="00F51085" w:rsidRDefault="00F51085" w:rsidP="00507409">
      <w:pPr>
        <w:pStyle w:val="ListParagraph"/>
        <w:numPr>
          <w:ilvl w:val="0"/>
          <w:numId w:val="43"/>
        </w:numPr>
      </w:pPr>
      <w:r w:rsidRPr="005F2940">
        <w:rPr>
          <w:rFonts w:ascii="IBM Plex Sans SemiBold" w:hAnsi="IBM Plex Sans SemiBold"/>
        </w:rPr>
        <w:t>Network Authority Signals</w:t>
      </w:r>
      <w:r w:rsidR="005F2940" w:rsidRPr="005F2940">
        <w:rPr>
          <w:rFonts w:ascii="IBM Plex Sans SemiBold" w:hAnsi="IBM Plex Sans SemiBold"/>
        </w:rPr>
        <w:t>.</w:t>
      </w:r>
      <w:r w:rsidR="006933FB" w:rsidRPr="005F2940">
        <w:rPr>
          <w:rFonts w:ascii="IBM Plex Sans SemiBold" w:hAnsi="IBM Plex Sans SemiBold"/>
        </w:rPr>
        <w:br/>
      </w:r>
      <w:r w:rsidR="00EE3FC8" w:rsidRPr="00EE3FC8">
        <w:t>Signals derived from an entity’s position within networks of trust, partnership, and transaction</w:t>
      </w:r>
      <w:r w:rsidR="006933FB" w:rsidRPr="006933FB">
        <w:t>.</w:t>
      </w:r>
    </w:p>
    <w:p w14:paraId="6460AEC8" w14:textId="68D89AE8" w:rsidR="00F51085" w:rsidRDefault="00F51085" w:rsidP="00507409">
      <w:pPr>
        <w:pStyle w:val="ListParagraph"/>
        <w:numPr>
          <w:ilvl w:val="0"/>
          <w:numId w:val="43"/>
        </w:numPr>
      </w:pPr>
      <w:r w:rsidRPr="005F2940">
        <w:rPr>
          <w:rFonts w:ascii="IBM Plex Sans SemiBold" w:hAnsi="IBM Plex Sans SemiBold"/>
        </w:rPr>
        <w:t>Technical Infrastructure Signals</w:t>
      </w:r>
      <w:r w:rsidR="005F2940" w:rsidRPr="005F2940">
        <w:rPr>
          <w:rFonts w:ascii="IBM Plex Sans SemiBold" w:hAnsi="IBM Plex Sans SemiBold"/>
        </w:rPr>
        <w:t>.</w:t>
      </w:r>
      <w:r w:rsidR="006933FB" w:rsidRPr="005F2940">
        <w:rPr>
          <w:rFonts w:ascii="IBM Plex Sans SemiBold" w:hAnsi="IBM Plex Sans SemiBold"/>
        </w:rPr>
        <w:br/>
      </w:r>
      <w:r w:rsidR="00EE3FC8" w:rsidRPr="00EE3FC8">
        <w:t>Signals derived from observable technical implementation (TLS, DNS, exposed services, software currency, hosting infrastructure)</w:t>
      </w:r>
      <w:r w:rsidR="00980A33" w:rsidRPr="00980A33">
        <w:t>.</w:t>
      </w:r>
    </w:p>
    <w:p w14:paraId="6F446DC1" w14:textId="7041C6EE" w:rsidR="00F51085" w:rsidRDefault="00F51085" w:rsidP="00507409">
      <w:pPr>
        <w:pStyle w:val="ListParagraph"/>
        <w:numPr>
          <w:ilvl w:val="0"/>
          <w:numId w:val="43"/>
        </w:numPr>
      </w:pPr>
      <w:r w:rsidRPr="005F2940">
        <w:rPr>
          <w:rFonts w:ascii="IBM Plex Sans SemiBold" w:hAnsi="IBM Plex Sans SemiBold"/>
        </w:rPr>
        <w:lastRenderedPageBreak/>
        <w:t>Corporate Digital Footprint Signals</w:t>
      </w:r>
      <w:r w:rsidR="005F2940" w:rsidRPr="005F2940">
        <w:rPr>
          <w:rFonts w:ascii="IBM Plex Sans SemiBold" w:hAnsi="IBM Plex Sans SemiBold"/>
        </w:rPr>
        <w:t>.</w:t>
      </w:r>
      <w:r w:rsidR="006933FB">
        <w:br/>
      </w:r>
      <w:r w:rsidR="00EE3FC8" w:rsidRPr="00EE3FC8">
        <w:t>Signals derived from an entity’s own digital presence (website structure, content recency, policy documentation, leadership visibility, hiring activity)</w:t>
      </w:r>
      <w:r w:rsidR="00980A33" w:rsidRPr="00980A33">
        <w:t>.</w:t>
      </w:r>
    </w:p>
    <w:p w14:paraId="22ED81F8" w14:textId="7034B2D4" w:rsidR="00F51085" w:rsidRDefault="00F51085" w:rsidP="00507409">
      <w:pPr>
        <w:pStyle w:val="ListParagraph"/>
        <w:numPr>
          <w:ilvl w:val="0"/>
          <w:numId w:val="43"/>
        </w:numPr>
      </w:pPr>
      <w:r w:rsidRPr="005F2940">
        <w:rPr>
          <w:rFonts w:ascii="IBM Plex Sans SemiBold" w:hAnsi="IBM Plex Sans SemiBold"/>
        </w:rPr>
        <w:t>Behavioural Signals</w:t>
      </w:r>
      <w:r w:rsidR="005F2940" w:rsidRPr="005F2940">
        <w:rPr>
          <w:rFonts w:ascii="IBM Plex Sans SemiBold" w:hAnsi="IBM Plex Sans SemiBold"/>
        </w:rPr>
        <w:t>.</w:t>
      </w:r>
      <w:r w:rsidR="006933FB" w:rsidRPr="005F2940">
        <w:rPr>
          <w:rFonts w:ascii="IBM Plex Sans SemiBold" w:hAnsi="IBM Plex Sans SemiBold"/>
        </w:rPr>
        <w:br/>
      </w:r>
      <w:r w:rsidR="004C051E" w:rsidRPr="004C051E">
        <w:t>Signals derived from observable operational behaviour over time (change patterns, incident response, regulatory engagement, customer/employee interaction)</w:t>
      </w:r>
      <w:r w:rsidR="00AB6E8C" w:rsidRPr="00AB6E8C">
        <w:t>.</w:t>
      </w:r>
    </w:p>
    <w:p w14:paraId="68BEC9C4" w14:textId="7DE57CBA" w:rsidR="00F51085" w:rsidRDefault="00F51085" w:rsidP="00507409">
      <w:pPr>
        <w:pStyle w:val="ListParagraph"/>
        <w:numPr>
          <w:ilvl w:val="0"/>
          <w:numId w:val="43"/>
        </w:numPr>
      </w:pPr>
      <w:r w:rsidRPr="005F2940">
        <w:rPr>
          <w:rFonts w:ascii="IBM Plex Sans SemiBold" w:hAnsi="IBM Plex Sans SemiBold"/>
        </w:rPr>
        <w:t>Public Record Signals</w:t>
      </w:r>
      <w:r w:rsidR="005F2940" w:rsidRPr="005F2940">
        <w:rPr>
          <w:rFonts w:ascii="IBM Plex Sans SemiBold" w:hAnsi="IBM Plex Sans SemiBold"/>
        </w:rPr>
        <w:t>.</w:t>
      </w:r>
      <w:r w:rsidR="006933FB" w:rsidRPr="005F2940">
        <w:rPr>
          <w:rFonts w:ascii="IBM Plex Sans SemiBold" w:hAnsi="IBM Plex Sans SemiBold"/>
        </w:rPr>
        <w:br/>
      </w:r>
      <w:r w:rsidR="004C051E" w:rsidRPr="004C051E">
        <w:t>Signals derived from regulatory filings, litigation records, corporate registries, IP filings, and breach disclosures</w:t>
      </w:r>
      <w:r w:rsidR="00AB6E8C" w:rsidRPr="00AB6E8C">
        <w:t>.</w:t>
      </w:r>
    </w:p>
    <w:p w14:paraId="36685385" w14:textId="499A4E4C" w:rsidR="00F51085" w:rsidRDefault="00F51085" w:rsidP="00507409">
      <w:pPr>
        <w:pStyle w:val="ListParagraph"/>
        <w:numPr>
          <w:ilvl w:val="0"/>
          <w:numId w:val="43"/>
        </w:numPr>
      </w:pPr>
      <w:r w:rsidRPr="005F2940">
        <w:rPr>
          <w:rFonts w:ascii="IBM Plex Sans SemiBold" w:hAnsi="IBM Plex Sans SemiBold"/>
        </w:rPr>
        <w:t>Structured Data Feed Signals</w:t>
      </w:r>
      <w:r w:rsidR="005F2940" w:rsidRPr="005F2940">
        <w:rPr>
          <w:rFonts w:ascii="IBM Plex Sans SemiBold" w:hAnsi="IBM Plex Sans SemiBold"/>
        </w:rPr>
        <w:t>.</w:t>
      </w:r>
      <w:r w:rsidR="006933FB" w:rsidRPr="005F2940">
        <w:rPr>
          <w:rFonts w:ascii="IBM Plex Sans SemiBold" w:hAnsi="IBM Plex Sans SemiBold"/>
        </w:rPr>
        <w:br/>
      </w:r>
      <w:r w:rsidR="004C051E" w:rsidRPr="004C051E">
        <w:t>Signals derived from authoritative third‑party providers (credit ratings, ESG scores, market data, classification society records)</w:t>
      </w:r>
      <w:r w:rsidR="00AB6E8C" w:rsidRPr="00AB6E8C">
        <w:t>.</w:t>
      </w:r>
    </w:p>
    <w:p w14:paraId="7B1E0FD5" w14:textId="1E12FCBE" w:rsidR="00F51085" w:rsidRDefault="00F51085" w:rsidP="00507409">
      <w:pPr>
        <w:pStyle w:val="ListParagraph"/>
        <w:numPr>
          <w:ilvl w:val="0"/>
          <w:numId w:val="43"/>
        </w:numPr>
      </w:pPr>
      <w:r w:rsidRPr="005F2940">
        <w:rPr>
          <w:rFonts w:ascii="IBM Plex Sans SemiBold" w:hAnsi="IBM Plex Sans SemiBold"/>
        </w:rPr>
        <w:t>Direct Inquiry Signals (Optional)</w:t>
      </w:r>
      <w:r w:rsidR="005F2940" w:rsidRPr="005F2940">
        <w:rPr>
          <w:rFonts w:ascii="IBM Plex Sans SemiBold" w:hAnsi="IBM Plex Sans SemiBold"/>
        </w:rPr>
        <w:t>.</w:t>
      </w:r>
      <w:r w:rsidR="006933FB" w:rsidRPr="005F2940">
        <w:rPr>
          <w:rFonts w:ascii="IBM Plex Sans SemiBold" w:hAnsi="IBM Plex Sans SemiBold"/>
        </w:rPr>
        <w:br/>
      </w:r>
      <w:r w:rsidR="004C051E" w:rsidRPr="004C051E">
        <w:t>Minimal, structured questions used only when externally observable signals are insufficient</w:t>
      </w:r>
      <w:r w:rsidR="005F2940">
        <w:t>.</w:t>
      </w:r>
    </w:p>
    <w:p w14:paraId="62F32417" w14:textId="0555D7C1" w:rsidR="00F51085" w:rsidRDefault="00F51085" w:rsidP="00C96B1B">
      <w:pPr>
        <w:pStyle w:val="Heading1"/>
      </w:pPr>
      <w:r>
        <w:t>Scoring Architecture</w:t>
      </w:r>
    </w:p>
    <w:p w14:paraId="24BC6DFC" w14:textId="69C53961" w:rsidR="00F51085" w:rsidRDefault="00F73765" w:rsidP="00F51085">
      <w:r w:rsidRPr="00F73765">
        <w:t>Models convert raw signals into deterministic underwriting outputs through a structured workflow comprising six phases and fourteen discrete steps.</w:t>
      </w:r>
    </w:p>
    <w:p w14:paraId="44F53E6B" w14:textId="26AE5EB3" w:rsidR="00307226" w:rsidRDefault="003C494E" w:rsidP="003C494E">
      <w:r>
        <w:t>The structured workflow is:</w:t>
      </w:r>
    </w:p>
    <w:p w14:paraId="39EF369D" w14:textId="77777777" w:rsidR="00302552" w:rsidRDefault="00307226" w:rsidP="00307226">
      <w:r w:rsidRPr="007A5962">
        <w:rPr>
          <w:rFonts w:ascii="IBM Plex Sans SemiBold" w:hAnsi="IBM Plex Sans SemiBold"/>
        </w:rPr>
        <w:t>Phase A – Discovery (Step 0)</w:t>
      </w:r>
    </w:p>
    <w:p w14:paraId="25CE0611" w14:textId="77777777" w:rsidR="00302552" w:rsidRDefault="00307226" w:rsidP="00302552">
      <w:pPr>
        <w:pStyle w:val="ListParagraph"/>
        <w:numPr>
          <w:ilvl w:val="0"/>
          <w:numId w:val="53"/>
        </w:numPr>
      </w:pPr>
      <w:r>
        <w:t xml:space="preserve">Entity identification </w:t>
      </w:r>
      <w:r w:rsidR="003E1EE3">
        <w:t>from</w:t>
      </w:r>
      <w:r>
        <w:t xml:space="preserve"> minimal </w:t>
      </w:r>
      <w:r w:rsidR="00E13964">
        <w:t xml:space="preserve">viable </w:t>
      </w:r>
      <w:r>
        <w:t>input</w:t>
      </w:r>
      <w:r w:rsidR="00E13964">
        <w:t xml:space="preserve"> (typically client </w:t>
      </w:r>
      <w:r w:rsidR="00712585">
        <w:t>name and</w:t>
      </w:r>
      <w:r w:rsidR="00E13964">
        <w:t xml:space="preserve"> / or domain</w:t>
      </w:r>
      <w:r w:rsidR="00712585">
        <w:t>)</w:t>
      </w:r>
      <w:r w:rsidR="00D9095A">
        <w:t xml:space="preserve"> triggers w</w:t>
      </w:r>
      <w:r>
        <w:t>ebsite discovery</w:t>
      </w:r>
      <w:r w:rsidR="003E1EE3">
        <w:t>,</w:t>
      </w:r>
      <w:r>
        <w:t xml:space="preserve"> validation</w:t>
      </w:r>
      <w:r w:rsidR="003E1EE3">
        <w:t>, and c</w:t>
      </w:r>
      <w:r>
        <w:t xml:space="preserve">orporate identity resolution. </w:t>
      </w:r>
    </w:p>
    <w:p w14:paraId="3243EE46" w14:textId="40A21A0C" w:rsidR="00307226" w:rsidRDefault="00307226" w:rsidP="00302552">
      <w:pPr>
        <w:pStyle w:val="ListParagraph"/>
        <w:numPr>
          <w:ilvl w:val="0"/>
          <w:numId w:val="53"/>
        </w:numPr>
      </w:pPr>
      <w:r>
        <w:t>Outputs the discovered website URL, domain, confidence score, and corporate identity.</w:t>
      </w:r>
    </w:p>
    <w:p w14:paraId="1EE887B8" w14:textId="77777777" w:rsidR="00D30EAC" w:rsidRDefault="00307226" w:rsidP="00307226">
      <w:pPr>
        <w:rPr>
          <w:rFonts w:ascii="IBM Plex Sans SemiBold" w:hAnsi="IBM Plex Sans SemiBold"/>
        </w:rPr>
      </w:pPr>
      <w:r w:rsidRPr="007A5962">
        <w:rPr>
          <w:rFonts w:ascii="IBM Plex Sans SemiBold" w:hAnsi="IBM Plex Sans SemiBold"/>
        </w:rPr>
        <w:t>Phase B – Signal Extraction (Steps 1–4)</w:t>
      </w:r>
    </w:p>
    <w:p w14:paraId="1C86A686" w14:textId="77777777" w:rsidR="00D30EAC" w:rsidRDefault="00307226" w:rsidP="00D30EAC">
      <w:pPr>
        <w:pStyle w:val="ListParagraph"/>
        <w:numPr>
          <w:ilvl w:val="0"/>
          <w:numId w:val="54"/>
        </w:numPr>
      </w:pPr>
      <w:r>
        <w:t xml:space="preserve">Configuration instantiation using content-addressable storage. </w:t>
      </w:r>
    </w:p>
    <w:p w14:paraId="7E1C953D" w14:textId="77777777" w:rsidR="00D30EAC" w:rsidRDefault="00307226" w:rsidP="00D30EAC">
      <w:pPr>
        <w:pStyle w:val="ListParagraph"/>
        <w:numPr>
          <w:ilvl w:val="0"/>
          <w:numId w:val="54"/>
        </w:numPr>
      </w:pPr>
      <w:r>
        <w:t xml:space="preserve">Model version creation with full audit trail. </w:t>
      </w:r>
    </w:p>
    <w:p w14:paraId="066B4177" w14:textId="77777777" w:rsidR="00D30EAC" w:rsidRDefault="00307226" w:rsidP="00D30EAC">
      <w:pPr>
        <w:pStyle w:val="ListParagraph"/>
        <w:numPr>
          <w:ilvl w:val="0"/>
          <w:numId w:val="54"/>
        </w:numPr>
      </w:pPr>
      <w:r>
        <w:t xml:space="preserve">Input verification against minimum viable requirements. </w:t>
      </w:r>
    </w:p>
    <w:p w14:paraId="19A46073" w14:textId="29964F41" w:rsidR="00307226" w:rsidRDefault="00307226" w:rsidP="00D30EAC">
      <w:pPr>
        <w:pStyle w:val="ListParagraph"/>
        <w:numPr>
          <w:ilvl w:val="0"/>
          <w:numId w:val="54"/>
        </w:numPr>
      </w:pPr>
      <w:r>
        <w:t>Parallel signal extraction across all configured pipelines.</w:t>
      </w:r>
    </w:p>
    <w:p w14:paraId="3916682B" w14:textId="77777777" w:rsidR="00581470" w:rsidRDefault="00307226" w:rsidP="00307226">
      <w:pPr>
        <w:rPr>
          <w:rFonts w:ascii="IBM Plex Sans SemiBold" w:hAnsi="IBM Plex Sans SemiBold"/>
        </w:rPr>
      </w:pPr>
      <w:r w:rsidRPr="007A5962">
        <w:rPr>
          <w:rFonts w:ascii="IBM Plex Sans SemiBold" w:hAnsi="IBM Plex Sans SemiBold"/>
        </w:rPr>
        <w:t>Phase C – Scoring (Steps 5–6)</w:t>
      </w:r>
    </w:p>
    <w:p w14:paraId="2D4E0534" w14:textId="354DF0AE" w:rsidR="00581470" w:rsidRDefault="00A67237" w:rsidP="00581470">
      <w:pPr>
        <w:pStyle w:val="ListParagraph"/>
        <w:numPr>
          <w:ilvl w:val="0"/>
          <w:numId w:val="47"/>
        </w:numPr>
      </w:pPr>
      <w:r>
        <w:t xml:space="preserve">Signals are normalised to a value between 0–100 using defined scoring algorithms. A confidence score (0–1) reflects </w:t>
      </w:r>
      <w:r w:rsidR="00A67C74">
        <w:t>availability, source reliability, and data freshness.</w:t>
      </w:r>
    </w:p>
    <w:p w14:paraId="280FDC14" w14:textId="32C278E8" w:rsidR="00581470" w:rsidRDefault="00715C36" w:rsidP="00581470">
      <w:pPr>
        <w:pStyle w:val="ListParagraph"/>
        <w:numPr>
          <w:ilvl w:val="0"/>
          <w:numId w:val="47"/>
        </w:numPr>
      </w:pPr>
      <w:r>
        <w:t xml:space="preserve">Signals are weighted based on </w:t>
      </w:r>
      <w:r w:rsidR="0052551C">
        <w:t xml:space="preserve">continuous </w:t>
      </w:r>
      <w:r>
        <w:t>loss-impact analysis and combined into a composite score on a 0–1000 scale.</w:t>
      </w:r>
    </w:p>
    <w:p w14:paraId="2E18DCAB" w14:textId="650265FF" w:rsidR="00715C36" w:rsidRDefault="00B76047" w:rsidP="00581470">
      <w:pPr>
        <w:pStyle w:val="ListParagraph"/>
        <w:numPr>
          <w:ilvl w:val="0"/>
          <w:numId w:val="47"/>
        </w:numPr>
      </w:pPr>
      <w:r>
        <w:t>Signal condition evaluation for tier overrides, referrals, and notes.</w:t>
      </w:r>
    </w:p>
    <w:p w14:paraId="2C060829" w14:textId="77777777" w:rsidR="00D30EAC" w:rsidRDefault="00307226" w:rsidP="00307226">
      <w:pPr>
        <w:rPr>
          <w:rFonts w:ascii="IBM Plex Sans SemiBold" w:hAnsi="IBM Plex Sans SemiBold"/>
        </w:rPr>
      </w:pPr>
      <w:r w:rsidRPr="007A5962">
        <w:rPr>
          <w:rFonts w:ascii="IBM Plex Sans SemiBold" w:hAnsi="IBM Plex Sans SemiBold"/>
        </w:rPr>
        <w:t>Phase D – Query Evaluation (Step 7)</w:t>
      </w:r>
    </w:p>
    <w:p w14:paraId="7FF546F2" w14:textId="496E6ADA" w:rsidR="00307226" w:rsidRDefault="00307226" w:rsidP="00D30EAC">
      <w:pPr>
        <w:pStyle w:val="ListParagraph"/>
        <w:numPr>
          <w:ilvl w:val="0"/>
          <w:numId w:val="55"/>
        </w:numPr>
      </w:pPr>
      <w:r>
        <w:t>Direct query response processing. Modifier determination from query impacts.</w:t>
      </w:r>
    </w:p>
    <w:p w14:paraId="1A940A72" w14:textId="77777777" w:rsidR="00D30EAC" w:rsidRDefault="00307226" w:rsidP="00307226">
      <w:r w:rsidRPr="007A5962">
        <w:rPr>
          <w:rFonts w:ascii="IBM Plex Sans SemiBold" w:hAnsi="IBM Plex Sans SemiBold"/>
        </w:rPr>
        <w:t>Phase E – Pricing (Steps 8–12)</w:t>
      </w:r>
    </w:p>
    <w:p w14:paraId="1D6D44BA" w14:textId="3E45076D" w:rsidR="00653B17" w:rsidRDefault="00653B17" w:rsidP="00097164">
      <w:pPr>
        <w:pStyle w:val="ListParagraph"/>
        <w:numPr>
          <w:ilvl w:val="0"/>
          <w:numId w:val="57"/>
        </w:numPr>
      </w:pPr>
      <w:r>
        <w:t xml:space="preserve">Composite scores map to configurable risk tiers. Each tier carries a pre-defined decision logic. For example, </w:t>
      </w:r>
      <w:r w:rsidR="009C6024">
        <w:t>composite score</w:t>
      </w:r>
      <w:r w:rsidR="000B2DC2">
        <w:t xml:space="preserve"> </w:t>
      </w:r>
      <w:r w:rsidR="00DB25EB">
        <w:t>≥</w:t>
      </w:r>
      <w:r w:rsidR="000B2DC2">
        <w:t xml:space="preserve"> 800 | </w:t>
      </w:r>
      <w:r w:rsidR="003767BE">
        <w:t>auto-approve | excellent risk.</w:t>
      </w:r>
    </w:p>
    <w:p w14:paraId="4CF3CEFF" w14:textId="36885B99" w:rsidR="003767BE" w:rsidRDefault="003767BE" w:rsidP="00097164">
      <w:pPr>
        <w:pStyle w:val="ListParagraph"/>
        <w:numPr>
          <w:ilvl w:val="0"/>
          <w:numId w:val="57"/>
        </w:numPr>
      </w:pPr>
      <w:r>
        <w:t>Final tier resolution applying maximum override rule.</w:t>
      </w:r>
    </w:p>
    <w:p w14:paraId="3B9FD5CC" w14:textId="6A54B145" w:rsidR="00D30EAC" w:rsidRDefault="00097164" w:rsidP="00097164">
      <w:pPr>
        <w:pStyle w:val="ListParagraph"/>
        <w:numPr>
          <w:ilvl w:val="0"/>
          <w:numId w:val="57"/>
        </w:numPr>
      </w:pPr>
      <w:r>
        <w:lastRenderedPageBreak/>
        <w:t xml:space="preserve">Tier </w:t>
      </w:r>
      <w:r w:rsidR="00A92497">
        <w:t>determines</w:t>
      </w:r>
      <w:r>
        <w:t xml:space="preserve"> </w:t>
      </w:r>
      <w:r w:rsidR="00A92497">
        <w:t>base-rate premium using one of two methods:</w:t>
      </w:r>
      <w:r w:rsidR="00A92497">
        <w:br/>
      </w:r>
      <w:r w:rsidR="000B3136">
        <w:t xml:space="preserve">pure: fixed amount per tier (for example, </w:t>
      </w:r>
      <w:r w:rsidR="007D5435">
        <w:t>T</w:t>
      </w:r>
      <w:r w:rsidR="000B3136">
        <w:t>ier 1: $10,000)</w:t>
      </w:r>
      <w:r w:rsidR="000B3136">
        <w:br/>
        <w:t>rate</w:t>
      </w:r>
      <w:r w:rsidR="00511AFE">
        <w:t xml:space="preserve">: percentage of known value (for example, </w:t>
      </w:r>
      <w:r w:rsidR="007D5435">
        <w:t>T</w:t>
      </w:r>
      <w:r w:rsidR="00511AFE">
        <w:t>ier 1: 0.08% of TIV)</w:t>
      </w:r>
      <w:r w:rsidR="00307226">
        <w:t xml:space="preserve"> </w:t>
      </w:r>
    </w:p>
    <w:p w14:paraId="25FD4A72" w14:textId="532C464A" w:rsidR="00D30EAC" w:rsidRDefault="00511AFE" w:rsidP="00097164">
      <w:pPr>
        <w:pStyle w:val="ListParagraph"/>
        <w:numPr>
          <w:ilvl w:val="0"/>
          <w:numId w:val="57"/>
        </w:numPr>
      </w:pPr>
      <w:r>
        <w:t xml:space="preserve">Deterministic modifier </w:t>
      </w:r>
      <w:r w:rsidR="00307226">
        <w:t xml:space="preserve">application in sequence. </w:t>
      </w:r>
    </w:p>
    <w:p w14:paraId="13E088BF" w14:textId="7DD9C23B" w:rsidR="00307226" w:rsidRDefault="00307226" w:rsidP="00097164">
      <w:pPr>
        <w:pStyle w:val="ListParagraph"/>
        <w:numPr>
          <w:ilvl w:val="0"/>
          <w:numId w:val="57"/>
        </w:numPr>
      </w:pPr>
      <w:r>
        <w:t>Limit band scaling using ILF tables.</w:t>
      </w:r>
    </w:p>
    <w:p w14:paraId="1AE88236" w14:textId="77777777" w:rsidR="00D30EAC" w:rsidRDefault="00307226" w:rsidP="00307226">
      <w:pPr>
        <w:rPr>
          <w:rFonts w:ascii="IBM Plex Sans SemiBold" w:hAnsi="IBM Plex Sans SemiBold"/>
        </w:rPr>
      </w:pPr>
      <w:r w:rsidRPr="007A5962">
        <w:rPr>
          <w:rFonts w:ascii="IBM Plex Sans SemiBold" w:hAnsi="IBM Plex Sans SemiBold"/>
        </w:rPr>
        <w:t>Phase F – Decision (Step 13)</w:t>
      </w:r>
    </w:p>
    <w:p w14:paraId="66D3C24B" w14:textId="77777777" w:rsidR="00D30EAC" w:rsidRDefault="00307226" w:rsidP="00D30EAC">
      <w:pPr>
        <w:pStyle w:val="ListParagraph"/>
        <w:numPr>
          <w:ilvl w:val="0"/>
          <w:numId w:val="56"/>
        </w:numPr>
      </w:pPr>
      <w:r>
        <w:t xml:space="preserve">Final decision determination: Approve, Refer, or Decline. </w:t>
      </w:r>
    </w:p>
    <w:p w14:paraId="2663B3ED" w14:textId="77777777" w:rsidR="00D30EAC" w:rsidRDefault="00307226" w:rsidP="00D30EAC">
      <w:pPr>
        <w:pStyle w:val="ListParagraph"/>
        <w:numPr>
          <w:ilvl w:val="0"/>
          <w:numId w:val="56"/>
        </w:numPr>
      </w:pPr>
      <w:r>
        <w:t xml:space="preserve">Full audit trail persistence. </w:t>
      </w:r>
    </w:p>
    <w:p w14:paraId="757C6605" w14:textId="59838A76" w:rsidR="00307226" w:rsidRDefault="00307226" w:rsidP="00D30EAC">
      <w:pPr>
        <w:pStyle w:val="ListParagraph"/>
        <w:numPr>
          <w:ilvl w:val="0"/>
          <w:numId w:val="56"/>
        </w:numPr>
      </w:pPr>
      <w:r>
        <w:t>Model version finalisation.</w:t>
      </w:r>
    </w:p>
    <w:p w14:paraId="03779FAF" w14:textId="5117E616" w:rsidR="00BC5021" w:rsidRDefault="00BC5021" w:rsidP="00BC5021">
      <w:pPr>
        <w:pStyle w:val="Heading1"/>
      </w:pPr>
      <w:r>
        <w:t>Signal Confidence and Referral Logic</w:t>
      </w:r>
    </w:p>
    <w:p w14:paraId="1F359D18" w14:textId="12DD120D" w:rsidR="00BC5021" w:rsidRDefault="00BC5021" w:rsidP="00BC5021">
      <w:r>
        <w:t>Every signal carries a confidence score alongside its value. This dual-output design enables the system to know when it knows—and critically, when it does not.</w:t>
      </w:r>
    </w:p>
    <w:p w14:paraId="66D8751D" w14:textId="460A42EE" w:rsidR="00BC5021" w:rsidRDefault="00BC5021" w:rsidP="00BC5021">
      <w:pPr>
        <w:pStyle w:val="Heading2"/>
      </w:pPr>
      <w:r>
        <w:t>Confidence as a First-Class Metric</w:t>
      </w:r>
    </w:p>
    <w:p w14:paraId="1911B9BF" w14:textId="77777777" w:rsidR="00BC5021" w:rsidRDefault="00BC5021" w:rsidP="00BC5021">
      <w:r>
        <w:t>Confidence scores (0–1) reflect three dimensions:</w:t>
      </w:r>
    </w:p>
    <w:p w14:paraId="580F908E" w14:textId="19EF00BD" w:rsidR="00BC5021" w:rsidRDefault="00BC5021" w:rsidP="00FD60E3">
      <w:pPr>
        <w:pStyle w:val="ListParagraph"/>
        <w:numPr>
          <w:ilvl w:val="0"/>
          <w:numId w:val="58"/>
        </w:numPr>
      </w:pPr>
      <w:r>
        <w:t>Data Availability: Was the signal successfully extracted from its source?</w:t>
      </w:r>
    </w:p>
    <w:p w14:paraId="68296BF4" w14:textId="619246B8" w:rsidR="00BC5021" w:rsidRDefault="00BC5021" w:rsidP="00FD60E3">
      <w:pPr>
        <w:pStyle w:val="ListParagraph"/>
        <w:numPr>
          <w:ilvl w:val="0"/>
          <w:numId w:val="58"/>
        </w:numPr>
      </w:pPr>
      <w:r>
        <w:t>Source Reliability: How authoritative is the data source?</w:t>
      </w:r>
    </w:p>
    <w:p w14:paraId="181F5DB7" w14:textId="4E4B12DA" w:rsidR="00BC5021" w:rsidRDefault="00BC5021" w:rsidP="00FD60E3">
      <w:pPr>
        <w:pStyle w:val="ListParagraph"/>
        <w:numPr>
          <w:ilvl w:val="0"/>
          <w:numId w:val="58"/>
        </w:numPr>
      </w:pPr>
      <w:r>
        <w:t>Signal Freshness: How recently was the data captured?</w:t>
      </w:r>
    </w:p>
    <w:p w14:paraId="065AE271" w14:textId="77777777" w:rsidR="00BC5021" w:rsidRDefault="00BC5021" w:rsidP="00BC5021">
      <w:r>
        <w:t>Weighted confidence propagates through composite scoring, producing an overall model confidence that determines decisioning authority.</w:t>
      </w:r>
    </w:p>
    <w:p w14:paraId="67ADBBED" w14:textId="7D1C1DA5" w:rsidR="00BC5021" w:rsidRDefault="00BC5021" w:rsidP="00BC5021">
      <w:pPr>
        <w:pStyle w:val="Heading2"/>
      </w:pPr>
      <w:r>
        <w:t>Confidence-Driven Decisioning</w:t>
      </w:r>
    </w:p>
    <w:p w14:paraId="0F0F59C1" w14:textId="77777777" w:rsidR="00BC5021" w:rsidRDefault="00BC5021" w:rsidP="00BC5021">
      <w:r>
        <w:t>The combination of score and confidence determines the appropriate action:</w:t>
      </w:r>
    </w:p>
    <w:tbl>
      <w:tblPr>
        <w:tblStyle w:val="TableGrid"/>
        <w:tblW w:w="0" w:type="auto"/>
        <w:tblLook w:val="04A0" w:firstRow="1" w:lastRow="0" w:firstColumn="1" w:lastColumn="0" w:noHBand="0" w:noVBand="1"/>
      </w:tblPr>
      <w:tblGrid>
        <w:gridCol w:w="2975"/>
        <w:gridCol w:w="2975"/>
        <w:gridCol w:w="2409"/>
      </w:tblGrid>
      <w:tr w:rsidR="00C77056" w14:paraId="4303CA69" w14:textId="77777777" w:rsidTr="00C77056">
        <w:trPr>
          <w:tblHeader/>
        </w:trPr>
        <w:tc>
          <w:tcPr>
            <w:tcW w:w="2975" w:type="dxa"/>
            <w:shd w:val="clear" w:color="auto" w:fill="7A766F" w:themeFill="accent5"/>
          </w:tcPr>
          <w:p w14:paraId="1B0138B8" w14:textId="724C01EE" w:rsidR="00385D41" w:rsidRPr="0007440B" w:rsidRDefault="00385D41" w:rsidP="000A03F5">
            <w:pPr>
              <w:jc w:val="center"/>
              <w:rPr>
                <w:color w:val="FFFFFF" w:themeColor="background1"/>
              </w:rPr>
            </w:pPr>
            <w:r>
              <w:rPr>
                <w:color w:val="FFFFFF" w:themeColor="background1"/>
              </w:rPr>
              <w:t>Scenario</w:t>
            </w:r>
          </w:p>
        </w:tc>
        <w:tc>
          <w:tcPr>
            <w:tcW w:w="2975" w:type="dxa"/>
            <w:shd w:val="clear" w:color="auto" w:fill="7A766F" w:themeFill="accent5"/>
          </w:tcPr>
          <w:p w14:paraId="18E9B793" w14:textId="4DC2E4CC" w:rsidR="00385D41" w:rsidRPr="0007440B" w:rsidRDefault="00385D41" w:rsidP="000A03F5">
            <w:pPr>
              <w:jc w:val="center"/>
              <w:rPr>
                <w:color w:val="FFFFFF" w:themeColor="background1"/>
              </w:rPr>
            </w:pPr>
            <w:r>
              <w:rPr>
                <w:color w:val="FFFFFF" w:themeColor="background1"/>
              </w:rPr>
              <w:t>Condition</w:t>
            </w:r>
          </w:p>
        </w:tc>
        <w:tc>
          <w:tcPr>
            <w:tcW w:w="2409" w:type="dxa"/>
            <w:shd w:val="clear" w:color="auto" w:fill="7A766F" w:themeFill="accent5"/>
          </w:tcPr>
          <w:p w14:paraId="593435E0" w14:textId="66EE96EE" w:rsidR="00385D41" w:rsidRPr="0007440B" w:rsidRDefault="00385D41" w:rsidP="000A03F5">
            <w:pPr>
              <w:jc w:val="center"/>
              <w:rPr>
                <w:color w:val="FFFFFF" w:themeColor="background1"/>
              </w:rPr>
            </w:pPr>
            <w:r>
              <w:rPr>
                <w:color w:val="FFFFFF" w:themeColor="background1"/>
              </w:rPr>
              <w:t>Action</w:t>
            </w:r>
          </w:p>
        </w:tc>
      </w:tr>
      <w:tr w:rsidR="00C77056" w14:paraId="0A31124F" w14:textId="77777777" w:rsidTr="00C77056">
        <w:tc>
          <w:tcPr>
            <w:tcW w:w="2975" w:type="dxa"/>
          </w:tcPr>
          <w:p w14:paraId="0378F78A" w14:textId="37CC73AF" w:rsidR="00385D41" w:rsidRDefault="00C77056" w:rsidP="000A03F5">
            <w:r w:rsidRPr="00C77056">
              <w:t>High confidence, good score</w:t>
            </w:r>
          </w:p>
        </w:tc>
        <w:tc>
          <w:tcPr>
            <w:tcW w:w="2975" w:type="dxa"/>
          </w:tcPr>
          <w:p w14:paraId="52BD10FE" w14:textId="30231E36" w:rsidR="00385D41" w:rsidRDefault="00C77056" w:rsidP="000A03F5">
            <w:pPr>
              <w:jc w:val="right"/>
            </w:pPr>
            <w:r w:rsidRPr="00C77056">
              <w:t>Confidence ≥ 0.8, Tier 1–2</w:t>
            </w:r>
          </w:p>
        </w:tc>
        <w:tc>
          <w:tcPr>
            <w:tcW w:w="2409" w:type="dxa"/>
          </w:tcPr>
          <w:p w14:paraId="3A41D264" w14:textId="5FD652D0" w:rsidR="00385D41" w:rsidRDefault="00385D41" w:rsidP="000A03F5">
            <w:pPr>
              <w:jc w:val="right"/>
            </w:pPr>
            <w:r>
              <w:t>auto-approve</w:t>
            </w:r>
          </w:p>
        </w:tc>
      </w:tr>
      <w:tr w:rsidR="00C77056" w14:paraId="0F053B8B" w14:textId="77777777" w:rsidTr="00C77056">
        <w:tc>
          <w:tcPr>
            <w:tcW w:w="2975" w:type="dxa"/>
            <w:shd w:val="clear" w:color="auto" w:fill="E8E3DA" w:themeFill="background2"/>
          </w:tcPr>
          <w:p w14:paraId="17981B39" w14:textId="635FF465" w:rsidR="00385D41" w:rsidRDefault="00C77056" w:rsidP="000A03F5">
            <w:r w:rsidRPr="00C77056">
              <w:t>High confidence, poor score</w:t>
            </w:r>
          </w:p>
        </w:tc>
        <w:tc>
          <w:tcPr>
            <w:tcW w:w="2975" w:type="dxa"/>
            <w:shd w:val="clear" w:color="auto" w:fill="E8E3DA" w:themeFill="background2"/>
          </w:tcPr>
          <w:p w14:paraId="415907DD" w14:textId="1D92EA63" w:rsidR="00385D41" w:rsidRDefault="00C77056" w:rsidP="000A03F5">
            <w:pPr>
              <w:jc w:val="right"/>
            </w:pPr>
            <w:r w:rsidRPr="00C77056">
              <w:t>Confidence ≥ 0.8, Tier 4–5</w:t>
            </w:r>
          </w:p>
        </w:tc>
        <w:tc>
          <w:tcPr>
            <w:tcW w:w="2409" w:type="dxa"/>
            <w:shd w:val="clear" w:color="auto" w:fill="E8E3DA" w:themeFill="background2"/>
          </w:tcPr>
          <w:p w14:paraId="0F8F7EEE" w14:textId="00CE5AEF" w:rsidR="00385D41" w:rsidRDefault="00C77056" w:rsidP="000A03F5">
            <w:pPr>
              <w:jc w:val="right"/>
            </w:pPr>
            <w:r>
              <w:t>auto-decline or price</w:t>
            </w:r>
          </w:p>
        </w:tc>
      </w:tr>
      <w:tr w:rsidR="00C77056" w14:paraId="12E536DF" w14:textId="77777777" w:rsidTr="00C77056">
        <w:tc>
          <w:tcPr>
            <w:tcW w:w="2975" w:type="dxa"/>
          </w:tcPr>
          <w:p w14:paraId="56C9F71F" w14:textId="1421DF42" w:rsidR="00385D41" w:rsidRDefault="00C77056" w:rsidP="000A03F5">
            <w:r w:rsidRPr="00C77056">
              <w:t>Low confidence, any score</w:t>
            </w:r>
          </w:p>
        </w:tc>
        <w:tc>
          <w:tcPr>
            <w:tcW w:w="2975" w:type="dxa"/>
          </w:tcPr>
          <w:p w14:paraId="1D1A3FDF" w14:textId="10D2132B" w:rsidR="00385D41" w:rsidRDefault="00C77056" w:rsidP="000A03F5">
            <w:pPr>
              <w:jc w:val="right"/>
            </w:pPr>
            <w:r w:rsidRPr="00C77056">
              <w:t>Confidence &lt; 0.6</w:t>
            </w:r>
          </w:p>
        </w:tc>
        <w:tc>
          <w:tcPr>
            <w:tcW w:w="2409" w:type="dxa"/>
          </w:tcPr>
          <w:p w14:paraId="13111F2A" w14:textId="562CB995" w:rsidR="00385D41" w:rsidRDefault="00C77056" w:rsidP="000A03F5">
            <w:pPr>
              <w:jc w:val="right"/>
            </w:pPr>
            <w:r>
              <w:t>refer</w:t>
            </w:r>
          </w:p>
        </w:tc>
      </w:tr>
      <w:tr w:rsidR="00C77056" w14:paraId="3F57A0AE" w14:textId="77777777" w:rsidTr="00C77056">
        <w:tc>
          <w:tcPr>
            <w:tcW w:w="2975" w:type="dxa"/>
            <w:shd w:val="clear" w:color="auto" w:fill="E8E3DA" w:themeFill="background2"/>
          </w:tcPr>
          <w:p w14:paraId="7E76CDB8" w14:textId="66F029FB" w:rsidR="00385D41" w:rsidRDefault="00C77056" w:rsidP="000A03F5">
            <w:r w:rsidRPr="00C77056">
              <w:t>Moderate confidence</w:t>
            </w:r>
          </w:p>
        </w:tc>
        <w:tc>
          <w:tcPr>
            <w:tcW w:w="2975" w:type="dxa"/>
            <w:shd w:val="clear" w:color="auto" w:fill="E8E3DA" w:themeFill="background2"/>
          </w:tcPr>
          <w:p w14:paraId="2EBEFB57" w14:textId="5B4EFFE2" w:rsidR="00385D41" w:rsidRDefault="00C77056" w:rsidP="000A03F5">
            <w:pPr>
              <w:jc w:val="right"/>
            </w:pPr>
            <w:r w:rsidRPr="00C77056">
              <w:t>0.6 ≤ Confidence &lt; 0.8</w:t>
            </w:r>
          </w:p>
        </w:tc>
        <w:tc>
          <w:tcPr>
            <w:tcW w:w="2409" w:type="dxa"/>
            <w:shd w:val="clear" w:color="auto" w:fill="E8E3DA" w:themeFill="background2"/>
          </w:tcPr>
          <w:p w14:paraId="6FBCF6DE" w14:textId="12BD2F3A" w:rsidR="00385D41" w:rsidRDefault="00C77056" w:rsidP="000A03F5">
            <w:pPr>
              <w:jc w:val="right"/>
            </w:pPr>
            <w:r>
              <w:t>context-depend</w:t>
            </w:r>
            <w:r w:rsidR="00737127">
              <w:t>e</w:t>
            </w:r>
            <w:r>
              <w:t>nt</w:t>
            </w:r>
          </w:p>
        </w:tc>
      </w:tr>
    </w:tbl>
    <w:p w14:paraId="36F4E2BA" w14:textId="4E59AB7B" w:rsidR="00BC5021" w:rsidRDefault="00C77056" w:rsidP="00BC5021">
      <w:r>
        <w:br/>
      </w:r>
      <w:r w:rsidR="00BC5021">
        <w:t xml:space="preserve">The </w:t>
      </w:r>
      <w:r>
        <w:t>model</w:t>
      </w:r>
      <w:r w:rsidR="00BC5021">
        <w:t xml:space="preserve"> knows when it doesn't know</w:t>
      </w:r>
      <w:r>
        <w:t xml:space="preserve">, providing </w:t>
      </w:r>
      <w:r w:rsidR="00BC5021">
        <w:t>a fundamental advantage over traditional underwriting, where data gaps are invisible.</w:t>
      </w:r>
    </w:p>
    <w:p w14:paraId="6BAAC732" w14:textId="18FBEAA4" w:rsidR="00BC5021" w:rsidRDefault="00BC5021" w:rsidP="00BC5021">
      <w:pPr>
        <w:pStyle w:val="Heading2"/>
      </w:pPr>
      <w:r>
        <w:t>Absence as Signal</w:t>
      </w:r>
    </w:p>
    <w:p w14:paraId="11A8C0E7" w14:textId="07299EF0" w:rsidR="00BC5021" w:rsidRDefault="00FD60E3" w:rsidP="00BC5021">
      <w:r>
        <w:t>Absence as Signal is a foundational principle of DSI. Where t</w:t>
      </w:r>
      <w:r w:rsidR="00BC5021">
        <w:t>raditional underwriting treats missing data as unknown</w:t>
      </w:r>
      <w:r>
        <w:t xml:space="preserve">, </w:t>
      </w:r>
      <w:r w:rsidR="00BC5021">
        <w:t>requiring manual intervention to obtain it</w:t>
      </w:r>
      <w:r>
        <w:t xml:space="preserve">, </w:t>
      </w:r>
      <w:r w:rsidR="00BC5021">
        <w:t>DSI inverts this logic: missing expected presence is itself a signal.</w:t>
      </w:r>
    </w:p>
    <w:p w14:paraId="11FD1B96" w14:textId="77777777" w:rsidR="00BC5021" w:rsidRDefault="00BC5021" w:rsidP="00BC5021">
      <w:r>
        <w:t>Well-run organisations have predictable digital footprints. A financial institution without security headers, a technology company without a careers page, a regulated entity without certification documentation—these absences are measurable negative indicators.</w:t>
      </w:r>
    </w:p>
    <w:p w14:paraId="36180FC7" w14:textId="77777777" w:rsidR="00BC5021" w:rsidRDefault="00BC5021" w:rsidP="00BC5021">
      <w:r>
        <w:t>Examples of absence signals:</w:t>
      </w:r>
    </w:p>
    <w:p w14:paraId="5422074E" w14:textId="172EDEC5" w:rsidR="00BC5021" w:rsidRDefault="00BC5021" w:rsidP="00FD60E3">
      <w:pPr>
        <w:pStyle w:val="ListParagraph"/>
        <w:numPr>
          <w:ilvl w:val="0"/>
          <w:numId w:val="59"/>
        </w:numPr>
      </w:pPr>
      <w:r>
        <w:t>No security headers on corporate website → Technical neglect</w:t>
      </w:r>
    </w:p>
    <w:p w14:paraId="387F1626" w14:textId="2C5708A3" w:rsidR="00BC5021" w:rsidRDefault="00BC5021" w:rsidP="00FD60E3">
      <w:pPr>
        <w:pStyle w:val="ListParagraph"/>
        <w:numPr>
          <w:ilvl w:val="0"/>
          <w:numId w:val="59"/>
        </w:numPr>
      </w:pPr>
      <w:r>
        <w:t>No industry body membership → Limited network authority</w:t>
      </w:r>
    </w:p>
    <w:p w14:paraId="7E818F56" w14:textId="070B18A9" w:rsidR="00BC5021" w:rsidRDefault="00BC5021" w:rsidP="00FD60E3">
      <w:pPr>
        <w:pStyle w:val="ListParagraph"/>
        <w:numPr>
          <w:ilvl w:val="0"/>
          <w:numId w:val="59"/>
        </w:numPr>
      </w:pPr>
      <w:r>
        <w:lastRenderedPageBreak/>
        <w:t>No certifications where expected → Compliance gap</w:t>
      </w:r>
    </w:p>
    <w:p w14:paraId="4B64C6C9" w14:textId="3F38ECB3" w:rsidR="00BC5021" w:rsidRDefault="00BC5021" w:rsidP="00FD60E3">
      <w:pPr>
        <w:pStyle w:val="ListParagraph"/>
        <w:numPr>
          <w:ilvl w:val="0"/>
          <w:numId w:val="59"/>
        </w:numPr>
      </w:pPr>
      <w:r>
        <w:t>No leadership visibility → Governance concern</w:t>
      </w:r>
    </w:p>
    <w:p w14:paraId="742AE043" w14:textId="187A706E" w:rsidR="00BC5021" w:rsidRDefault="00BC5021" w:rsidP="00FD60E3">
      <w:pPr>
        <w:pStyle w:val="ListParagraph"/>
        <w:numPr>
          <w:ilvl w:val="0"/>
          <w:numId w:val="59"/>
        </w:numPr>
      </w:pPr>
      <w:r>
        <w:t>No recent content updates → Operational dormancy</w:t>
      </w:r>
    </w:p>
    <w:p w14:paraId="2BEA62FA" w14:textId="77777777" w:rsidR="00BC5021" w:rsidRDefault="00BC5021" w:rsidP="00BC5021">
      <w:r>
        <w:t>Absence signals are scored, not ignored. This enables DSI to differentiate between entities where traditional features (industry code, size, geography) appear identical.</w:t>
      </w:r>
    </w:p>
    <w:p w14:paraId="59E3D561" w14:textId="60679F11" w:rsidR="00BC5021" w:rsidRDefault="00BC5021" w:rsidP="00BC5021">
      <w:pPr>
        <w:pStyle w:val="Heading2"/>
      </w:pPr>
      <w:r>
        <w:t>Confidence Thresholds by Tier</w:t>
      </w:r>
    </w:p>
    <w:p w14:paraId="147DCBCC" w14:textId="3A43A992" w:rsidR="00BC5021" w:rsidRDefault="00CF0256" w:rsidP="00BC5021">
      <w:r>
        <w:t xml:space="preserve">Decisions require </w:t>
      </w:r>
      <w:r w:rsidR="00DB25EB">
        <w:t xml:space="preserve">variable </w:t>
      </w:r>
      <w:r w:rsidR="00BC5021">
        <w:t>confidence</w:t>
      </w:r>
      <w:r w:rsidR="00053A4D">
        <w:t>. For example</w:t>
      </w:r>
      <w:r w:rsidR="00244ECD">
        <w:t xml:space="preserve">, tier 1 | auto-approve | confidence </w:t>
      </w:r>
      <w:r>
        <w:t>≥</w:t>
      </w:r>
      <w:r>
        <w:t xml:space="preserve"> 0.85</w:t>
      </w:r>
    </w:p>
    <w:p w14:paraId="66F73FA4" w14:textId="2C8616E3" w:rsidR="00BC5021" w:rsidRDefault="00BC5021" w:rsidP="00BC5021">
      <w:r>
        <w:t>This prevents false confidence in edge cases and ensures human review where signal density is insufficient.</w:t>
      </w:r>
    </w:p>
    <w:p w14:paraId="61026E73" w14:textId="36515DC1" w:rsidR="00F51085" w:rsidRDefault="00F51085" w:rsidP="00C96B1B">
      <w:pPr>
        <w:pStyle w:val="Heading1"/>
      </w:pPr>
      <w:r>
        <w:t>Exposure Shadow Layer</w:t>
      </w:r>
    </w:p>
    <w:p w14:paraId="2DC541A3" w14:textId="77777777" w:rsidR="00C05937" w:rsidRDefault="00C05937" w:rsidP="00C05937">
      <w:r>
        <w:t>The Exposure Shadow Layer extends DSI from assessing risk quality to estimating risk size. Traditional exposure estimation relies on self‑reported schedules, statements of value, and bordereaux. These artefacts are slow, inconsistent, and incompatible with automation.</w:t>
      </w:r>
    </w:p>
    <w:p w14:paraId="50CD85B0" w14:textId="6D9D18E8" w:rsidR="00C05937" w:rsidRDefault="00C05937" w:rsidP="00C05937">
      <w:r>
        <w:t>DSI introduces a different approach:</w:t>
      </w:r>
      <w:r w:rsidR="00B91078">
        <w:t xml:space="preserve"> </w:t>
      </w:r>
      <w:r>
        <w:t>exposure magnitude and complexity can be inferred from the same observable signals that reveal operational maturity.</w:t>
      </w:r>
    </w:p>
    <w:p w14:paraId="3309FEFB" w14:textId="77777777" w:rsidR="00C05937" w:rsidRDefault="00C05937" w:rsidP="00B91078">
      <w:pPr>
        <w:pStyle w:val="Heading2"/>
      </w:pPr>
      <w:r>
        <w:t>Why It Works</w:t>
      </w:r>
    </w:p>
    <w:p w14:paraId="2187C438" w14:textId="77777777" w:rsidR="00C05937" w:rsidRDefault="00C05937" w:rsidP="00C05937">
      <w:r>
        <w:t>Organisations leave measurable digital traces of their scale:</w:t>
      </w:r>
    </w:p>
    <w:p w14:paraId="5FD71A16" w14:textId="77777777" w:rsidR="00C05937" w:rsidRDefault="00C05937" w:rsidP="00581470">
      <w:pPr>
        <w:pStyle w:val="ListParagraph"/>
        <w:numPr>
          <w:ilvl w:val="0"/>
          <w:numId w:val="50"/>
        </w:numPr>
      </w:pPr>
      <w:r>
        <w:t>the breadth of their digital footprint</w:t>
      </w:r>
    </w:p>
    <w:p w14:paraId="4D46ADE4" w14:textId="77777777" w:rsidR="00C05937" w:rsidRDefault="00C05937" w:rsidP="00581470">
      <w:pPr>
        <w:pStyle w:val="ListParagraph"/>
        <w:numPr>
          <w:ilvl w:val="0"/>
          <w:numId w:val="50"/>
        </w:numPr>
      </w:pPr>
      <w:r>
        <w:t>the depth of their infrastructure</w:t>
      </w:r>
    </w:p>
    <w:p w14:paraId="62DBBCDC" w14:textId="77777777" w:rsidR="00C05937" w:rsidRDefault="00C05937" w:rsidP="00581470">
      <w:pPr>
        <w:pStyle w:val="ListParagraph"/>
        <w:numPr>
          <w:ilvl w:val="0"/>
          <w:numId w:val="50"/>
        </w:numPr>
      </w:pPr>
      <w:r>
        <w:t>the number of locations implied by regulatory filings</w:t>
      </w:r>
    </w:p>
    <w:p w14:paraId="683824B2" w14:textId="77777777" w:rsidR="00C05937" w:rsidRDefault="00C05937" w:rsidP="00581470">
      <w:pPr>
        <w:pStyle w:val="ListParagraph"/>
        <w:numPr>
          <w:ilvl w:val="0"/>
          <w:numId w:val="50"/>
        </w:numPr>
      </w:pPr>
      <w:r>
        <w:t>the size of their partner and vendor networks</w:t>
      </w:r>
    </w:p>
    <w:p w14:paraId="799D91CF" w14:textId="77777777" w:rsidR="00C05937" w:rsidRDefault="00C05937" w:rsidP="00581470">
      <w:pPr>
        <w:pStyle w:val="ListParagraph"/>
        <w:numPr>
          <w:ilvl w:val="0"/>
          <w:numId w:val="50"/>
        </w:numPr>
      </w:pPr>
      <w:r>
        <w:t>the complexity of their technology stack</w:t>
      </w:r>
    </w:p>
    <w:p w14:paraId="7F2C52BC" w14:textId="77777777" w:rsidR="00C05937" w:rsidRDefault="00C05937" w:rsidP="00581470">
      <w:pPr>
        <w:pStyle w:val="ListParagraph"/>
        <w:numPr>
          <w:ilvl w:val="0"/>
          <w:numId w:val="50"/>
        </w:numPr>
      </w:pPr>
      <w:r>
        <w:t>the geographic dispersion of their operations</w:t>
      </w:r>
    </w:p>
    <w:p w14:paraId="562FBB74" w14:textId="77777777" w:rsidR="00C05937" w:rsidRDefault="00C05937" w:rsidP="00C05937">
      <w:r>
        <w:t>These signals correlate strongly with exposure magnitude.</w:t>
      </w:r>
    </w:p>
    <w:p w14:paraId="00374715" w14:textId="77777777" w:rsidR="00C05937" w:rsidRDefault="00C05937" w:rsidP="00C05937">
      <w:r>
        <w:t>They do not require self‑reporting.</w:t>
      </w:r>
    </w:p>
    <w:p w14:paraId="3D4AB7F3" w14:textId="155C7DA3" w:rsidR="00C05937" w:rsidRDefault="00C05937" w:rsidP="00B3420F">
      <w:pPr>
        <w:pStyle w:val="Heading2"/>
      </w:pPr>
      <w:r>
        <w:t xml:space="preserve">What It Adds </w:t>
      </w:r>
    </w:p>
    <w:p w14:paraId="767FB4EC" w14:textId="77777777" w:rsidR="00C05937" w:rsidRDefault="00C05937" w:rsidP="00C05937">
      <w:r>
        <w:t>The Exposure Shadow Layer provides two additional outputs:</w:t>
      </w:r>
    </w:p>
    <w:p w14:paraId="48348073" w14:textId="77777777" w:rsidR="00C05937" w:rsidRDefault="00C05937" w:rsidP="00BB5C79">
      <w:pPr>
        <w:pStyle w:val="ListParagraph"/>
        <w:numPr>
          <w:ilvl w:val="0"/>
          <w:numId w:val="64"/>
        </w:numPr>
      </w:pPr>
      <w:r>
        <w:t>Exposure Band (micro → very large)</w:t>
      </w:r>
    </w:p>
    <w:p w14:paraId="5E5ED1C9" w14:textId="77777777" w:rsidR="00C05937" w:rsidRDefault="00C05937" w:rsidP="00BB5C79">
      <w:pPr>
        <w:pStyle w:val="ListParagraph"/>
        <w:numPr>
          <w:ilvl w:val="0"/>
          <w:numId w:val="64"/>
        </w:numPr>
      </w:pPr>
      <w:r>
        <w:t>Complexity Category (simple → highly complex)</w:t>
      </w:r>
    </w:p>
    <w:p w14:paraId="6666ABE8" w14:textId="77777777" w:rsidR="00C05937" w:rsidRDefault="00C05937" w:rsidP="00C05937">
      <w:r>
        <w:t>These operate independently of risk quality.</w:t>
      </w:r>
    </w:p>
    <w:p w14:paraId="6EAE09DB" w14:textId="5D8ED807" w:rsidR="00C05937" w:rsidRDefault="00C05937" w:rsidP="00C05937">
      <w:r>
        <w:t>This separation is essential</w:t>
      </w:r>
      <w:r w:rsidR="002E5AC9">
        <w:t>.</w:t>
      </w:r>
      <w:r w:rsidR="005521AE">
        <w:t xml:space="preserve"> </w:t>
      </w:r>
      <w:r>
        <w:t>A large, well‑managed organisation is not priced like a small, poorly managed one.</w:t>
      </w:r>
      <w:r w:rsidR="005521AE">
        <w:t xml:space="preserve"> </w:t>
      </w:r>
      <w:r w:rsidR="005521AE" w:rsidRPr="005521AE">
        <w:t>Conflating size and quality produces actuarially unsound pricing.</w:t>
      </w:r>
    </w:p>
    <w:p w14:paraId="5FFFC11A" w14:textId="77777777" w:rsidR="00C05937" w:rsidRDefault="00C05937" w:rsidP="00B3420F">
      <w:pPr>
        <w:pStyle w:val="Heading2"/>
      </w:pPr>
      <w:r>
        <w:t>How It Integrates</w:t>
      </w:r>
    </w:p>
    <w:p w14:paraId="719FF562" w14:textId="77777777" w:rsidR="00C05937" w:rsidRDefault="00C05937" w:rsidP="00C05937">
      <w:r>
        <w:t>The Exposure Shadow Layer augments the Scoring Architecture:</w:t>
      </w:r>
    </w:p>
    <w:p w14:paraId="2795F8A4" w14:textId="77777777" w:rsidR="00C05937" w:rsidRDefault="00C05937" w:rsidP="00C05937">
      <w:r>
        <w:t>Risk Tier × Exposure Band × Complexity Category → Rate → Premium</w:t>
      </w:r>
    </w:p>
    <w:p w14:paraId="55D8C3CC" w14:textId="77777777" w:rsidR="00C05937" w:rsidRDefault="00C05937" w:rsidP="00C05937">
      <w:r>
        <w:lastRenderedPageBreak/>
        <w:t>This enables:</w:t>
      </w:r>
    </w:p>
    <w:p w14:paraId="5C20267C" w14:textId="77777777" w:rsidR="00C05937" w:rsidRDefault="00C05937" w:rsidP="00581470">
      <w:pPr>
        <w:pStyle w:val="ListParagraph"/>
        <w:numPr>
          <w:ilvl w:val="0"/>
          <w:numId w:val="51"/>
        </w:numPr>
      </w:pPr>
      <w:r>
        <w:t>two‑dimensional pricing</w:t>
      </w:r>
    </w:p>
    <w:p w14:paraId="0E7B3CA3" w14:textId="77777777" w:rsidR="00C05937" w:rsidRDefault="00C05937" w:rsidP="00581470">
      <w:pPr>
        <w:pStyle w:val="ListParagraph"/>
        <w:numPr>
          <w:ilvl w:val="0"/>
          <w:numId w:val="51"/>
        </w:numPr>
      </w:pPr>
      <w:r>
        <w:t>higher straight‑through processing</w:t>
      </w:r>
    </w:p>
    <w:p w14:paraId="17809ED7" w14:textId="77777777" w:rsidR="00C05937" w:rsidRDefault="00C05937" w:rsidP="00581470">
      <w:pPr>
        <w:pStyle w:val="ListParagraph"/>
        <w:numPr>
          <w:ilvl w:val="0"/>
          <w:numId w:val="51"/>
        </w:numPr>
      </w:pPr>
      <w:r>
        <w:t>automated triage</w:t>
      </w:r>
    </w:p>
    <w:p w14:paraId="7009D206" w14:textId="77777777" w:rsidR="00C05937" w:rsidRDefault="00C05937" w:rsidP="00581470">
      <w:pPr>
        <w:pStyle w:val="ListParagraph"/>
        <w:numPr>
          <w:ilvl w:val="0"/>
          <w:numId w:val="51"/>
        </w:numPr>
      </w:pPr>
      <w:r>
        <w:t>reduced reliance on client‑provided schedules</w:t>
      </w:r>
    </w:p>
    <w:p w14:paraId="2AA348F2" w14:textId="50C0354C" w:rsidR="00F51085" w:rsidRDefault="00EF375B" w:rsidP="00C96B1B">
      <w:pPr>
        <w:pStyle w:val="Heading1"/>
      </w:pPr>
      <w:r w:rsidRPr="00EF375B">
        <w:t>Loss Signal Correlation Layer</w:t>
      </w:r>
    </w:p>
    <w:p w14:paraId="5E8F481B" w14:textId="364502A5" w:rsidR="00D44056" w:rsidRDefault="00D44056" w:rsidP="009D719B">
      <w:r w:rsidRPr="00D44056">
        <w:t>The Loss Signal Correlation Layer extends DSI from assessing risk quality and exposure magnitude to inferring loss propensity. Traditional loss analysis relies on sparse, inconsistent, and lagging historical loss data. DSI introduces a new approach: loss propensity can be inferred from the same observable signals that describe operational discipline, governance maturity, and behavioural stability.</w:t>
      </w:r>
    </w:p>
    <w:p w14:paraId="105DDE12" w14:textId="77B16E9E" w:rsidR="009851B8" w:rsidRDefault="009851B8" w:rsidP="009851B8">
      <w:pPr>
        <w:pStyle w:val="Heading2"/>
      </w:pPr>
      <w:r>
        <w:t>Why It Works</w:t>
      </w:r>
    </w:p>
    <w:p w14:paraId="0BC8A277" w14:textId="77777777" w:rsidR="00D44056" w:rsidRDefault="00D44056" w:rsidP="00D44056">
      <w:r>
        <w:t>Loss events are preceded by measurable behavioural and structural patterns. DSI captures these patterns through 200–400 externally observable signals that describe:</w:t>
      </w:r>
    </w:p>
    <w:p w14:paraId="3D11BA19" w14:textId="77777777" w:rsidR="00D44056" w:rsidRDefault="00D44056" w:rsidP="00D44056">
      <w:pPr>
        <w:pStyle w:val="ListParagraph"/>
        <w:numPr>
          <w:ilvl w:val="0"/>
          <w:numId w:val="61"/>
        </w:numPr>
      </w:pPr>
      <w:r>
        <w:t>operational discipline</w:t>
      </w:r>
    </w:p>
    <w:p w14:paraId="33AE8C4F" w14:textId="77777777" w:rsidR="00D44056" w:rsidRDefault="00D44056" w:rsidP="00D44056">
      <w:pPr>
        <w:pStyle w:val="ListParagraph"/>
        <w:numPr>
          <w:ilvl w:val="0"/>
          <w:numId w:val="61"/>
        </w:numPr>
      </w:pPr>
      <w:r>
        <w:t>governance stability</w:t>
      </w:r>
    </w:p>
    <w:p w14:paraId="7ED007C6" w14:textId="77777777" w:rsidR="00D44056" w:rsidRDefault="00D44056" w:rsidP="00D44056">
      <w:pPr>
        <w:pStyle w:val="ListParagraph"/>
        <w:numPr>
          <w:ilvl w:val="0"/>
          <w:numId w:val="61"/>
        </w:numPr>
      </w:pPr>
      <w:r>
        <w:t>security posture</w:t>
      </w:r>
    </w:p>
    <w:p w14:paraId="2BCC456E" w14:textId="77777777" w:rsidR="00D44056" w:rsidRDefault="00D44056" w:rsidP="00D44056">
      <w:pPr>
        <w:pStyle w:val="ListParagraph"/>
        <w:numPr>
          <w:ilvl w:val="0"/>
          <w:numId w:val="61"/>
        </w:numPr>
      </w:pPr>
      <w:r>
        <w:t>regulatory engagement</w:t>
      </w:r>
    </w:p>
    <w:p w14:paraId="7CE9F676" w14:textId="77777777" w:rsidR="00D44056" w:rsidRDefault="00D44056" w:rsidP="00D44056">
      <w:pPr>
        <w:pStyle w:val="ListParagraph"/>
        <w:numPr>
          <w:ilvl w:val="0"/>
          <w:numId w:val="61"/>
        </w:numPr>
      </w:pPr>
      <w:r>
        <w:t>partner and vendor quality</w:t>
      </w:r>
    </w:p>
    <w:p w14:paraId="59267863" w14:textId="77777777" w:rsidR="00D44056" w:rsidRDefault="00D44056" w:rsidP="00D44056">
      <w:pPr>
        <w:pStyle w:val="ListParagraph"/>
        <w:numPr>
          <w:ilvl w:val="0"/>
          <w:numId w:val="61"/>
        </w:numPr>
      </w:pPr>
      <w:r>
        <w:t>digital footprint vitality</w:t>
      </w:r>
    </w:p>
    <w:p w14:paraId="029DE65C" w14:textId="77777777" w:rsidR="00D44056" w:rsidRDefault="00D44056" w:rsidP="00D44056">
      <w:pPr>
        <w:pStyle w:val="ListParagraph"/>
        <w:numPr>
          <w:ilvl w:val="0"/>
          <w:numId w:val="61"/>
        </w:numPr>
      </w:pPr>
      <w:r>
        <w:t>organisational change velocity</w:t>
      </w:r>
    </w:p>
    <w:p w14:paraId="375CBB29" w14:textId="120BDBC2" w:rsidR="00D44056" w:rsidRDefault="0048401A" w:rsidP="00D44056">
      <w:r w:rsidRPr="0048401A">
        <w:t>These signals are leading indicators: they deteriorate before losses occur.</w:t>
      </w:r>
      <w:r w:rsidR="00D44056">
        <w:t xml:space="preserve"> For example, </w:t>
      </w:r>
      <w:r w:rsidR="00D44056">
        <w:t>weakening security posture precedes cyber breaches</w:t>
      </w:r>
      <w:r w:rsidR="00D44056">
        <w:t xml:space="preserve">; or </w:t>
      </w:r>
      <w:r w:rsidR="00D44056">
        <w:t>regulatory friction precedes enforcement actions</w:t>
      </w:r>
      <w:r w:rsidR="00D44056">
        <w:t>.</w:t>
      </w:r>
    </w:p>
    <w:p w14:paraId="66AC0D25" w14:textId="6BEDAE8F" w:rsidR="008579B7" w:rsidRPr="008579B7" w:rsidRDefault="00BB5C79" w:rsidP="00D44056">
      <w:r>
        <w:t xml:space="preserve">These patterns can be detected because DSI can observe </w:t>
      </w:r>
      <w:r w:rsidR="00D44056">
        <w:t>behaviour continuously.</w:t>
      </w:r>
    </w:p>
    <w:p w14:paraId="406E2639" w14:textId="3C736FCE" w:rsidR="009851B8" w:rsidRDefault="009851B8" w:rsidP="009851B8">
      <w:pPr>
        <w:pStyle w:val="Heading2"/>
      </w:pPr>
      <w:r>
        <w:t>What It Adds</w:t>
      </w:r>
    </w:p>
    <w:p w14:paraId="54F90EE7" w14:textId="77777777" w:rsidR="00D44056" w:rsidRDefault="00D44056" w:rsidP="00D44056">
      <w:r>
        <w:t>The Loss Signal Correlation Layer provides a third dimension of underwriting insight:</w:t>
      </w:r>
    </w:p>
    <w:p w14:paraId="1A99B845" w14:textId="7484A1EF" w:rsidR="00D44056" w:rsidRDefault="00D44056" w:rsidP="00D44056">
      <w:pPr>
        <w:pStyle w:val="ListParagraph"/>
        <w:numPr>
          <w:ilvl w:val="0"/>
          <w:numId w:val="63"/>
        </w:numPr>
      </w:pPr>
      <w:r w:rsidRPr="00D44056">
        <w:rPr>
          <w:rFonts w:ascii="IBM Plex Sans SemiBold" w:hAnsi="IBM Plex Sans SemiBold"/>
        </w:rPr>
        <w:t>Loss Propensity Score (0–100)</w:t>
      </w:r>
      <w:r w:rsidRPr="00D44056">
        <w:rPr>
          <w:rFonts w:ascii="IBM Plex Sans SemiBold" w:hAnsi="IBM Plex Sans SemiBold"/>
        </w:rPr>
        <w:t>.</w:t>
      </w:r>
      <w:r>
        <w:br/>
      </w:r>
      <w:r>
        <w:t>Likelihood of loss frequency based on signal patterns.</w:t>
      </w:r>
    </w:p>
    <w:p w14:paraId="715641B6" w14:textId="7252FE33" w:rsidR="00D44056" w:rsidRDefault="00D44056" w:rsidP="00D44056">
      <w:pPr>
        <w:pStyle w:val="ListParagraph"/>
        <w:numPr>
          <w:ilvl w:val="0"/>
          <w:numId w:val="63"/>
        </w:numPr>
      </w:pPr>
      <w:r w:rsidRPr="00D44056">
        <w:rPr>
          <w:rFonts w:ascii="IBM Plex Sans SemiBold" w:hAnsi="IBM Plex Sans SemiBold"/>
        </w:rPr>
        <w:t>Severity Propensity Score (0–100)</w:t>
      </w:r>
      <w:r w:rsidRPr="00D44056">
        <w:rPr>
          <w:rFonts w:ascii="IBM Plex Sans SemiBold" w:hAnsi="IBM Plex Sans SemiBold"/>
        </w:rPr>
        <w:t>.</w:t>
      </w:r>
      <w:r w:rsidRPr="00D44056">
        <w:rPr>
          <w:rFonts w:ascii="IBM Plex Sans SemiBold" w:hAnsi="IBM Plex Sans SemiBold"/>
        </w:rPr>
        <w:br/>
      </w:r>
      <w:r>
        <w:t>Likelihood of higher‑severity outcomes.</w:t>
      </w:r>
    </w:p>
    <w:p w14:paraId="40416695" w14:textId="57AA6548" w:rsidR="00D44056" w:rsidRDefault="00D44056" w:rsidP="00D44056">
      <w:pPr>
        <w:pStyle w:val="ListParagraph"/>
        <w:numPr>
          <w:ilvl w:val="0"/>
          <w:numId w:val="63"/>
        </w:numPr>
      </w:pPr>
      <w:r w:rsidRPr="00D44056">
        <w:rPr>
          <w:rFonts w:ascii="IBM Plex Sans SemiBold" w:hAnsi="IBM Plex Sans SemiBold"/>
        </w:rPr>
        <w:t>Loss Propensity Band</w:t>
      </w:r>
      <w:r w:rsidRPr="00D44056">
        <w:rPr>
          <w:rFonts w:ascii="IBM Plex Sans SemiBold" w:hAnsi="IBM Plex Sans SemiBold"/>
        </w:rPr>
        <w:t>.</w:t>
      </w:r>
      <w:r w:rsidRPr="00D44056">
        <w:rPr>
          <w:rFonts w:ascii="IBM Plex Sans SemiBold" w:hAnsi="IBM Plex Sans SemiBold"/>
        </w:rPr>
        <w:br/>
      </w:r>
      <w:r>
        <w:t xml:space="preserve">Likelihood banding from </w:t>
      </w:r>
      <w:r>
        <w:t xml:space="preserve">very </w:t>
      </w:r>
      <w:r w:rsidR="00BB5C79">
        <w:t>low to</w:t>
      </w:r>
      <w:r>
        <w:t xml:space="preserve"> high</w:t>
      </w:r>
      <w:r>
        <w:t>.</w:t>
      </w:r>
    </w:p>
    <w:p w14:paraId="0115C3E9" w14:textId="2EAD2B39" w:rsidR="00D44056" w:rsidRDefault="00D44056" w:rsidP="00D44056">
      <w:pPr>
        <w:pStyle w:val="ListParagraph"/>
        <w:numPr>
          <w:ilvl w:val="0"/>
          <w:numId w:val="63"/>
        </w:numPr>
      </w:pPr>
      <w:r w:rsidRPr="00D44056">
        <w:rPr>
          <w:rFonts w:ascii="IBM Plex Sans SemiBold" w:hAnsi="IBM Plex Sans SemiBold"/>
        </w:rPr>
        <w:t>Cohort Assignment</w:t>
      </w:r>
      <w:r w:rsidR="00E71AD8">
        <w:t>.</w:t>
      </w:r>
      <w:r>
        <w:br/>
      </w:r>
      <w:r>
        <w:t>Signal‑derived peer groups that share loss characteristics.</w:t>
      </w:r>
    </w:p>
    <w:p w14:paraId="0BB78230" w14:textId="64AE11C7" w:rsidR="00D44056" w:rsidRDefault="00D44056" w:rsidP="00D44056">
      <w:pPr>
        <w:pStyle w:val="ListParagraph"/>
        <w:numPr>
          <w:ilvl w:val="0"/>
          <w:numId w:val="63"/>
        </w:numPr>
      </w:pPr>
      <w:r w:rsidRPr="00D44056">
        <w:rPr>
          <w:rFonts w:ascii="IBM Plex Sans SemiBold" w:hAnsi="IBM Plex Sans SemiBold"/>
        </w:rPr>
        <w:t>Continuous Monitoring</w:t>
      </w:r>
      <w:r w:rsidRPr="00D44056">
        <w:rPr>
          <w:rFonts w:ascii="IBM Plex Sans SemiBold" w:hAnsi="IBM Plex Sans SemiBold"/>
        </w:rPr>
        <w:t>.</w:t>
      </w:r>
      <w:r>
        <w:br/>
      </w:r>
      <w:r>
        <w:t>Monthly/quarterly refresh, trend detection, deterioration alerts.</w:t>
      </w:r>
    </w:p>
    <w:p w14:paraId="0A324EBD" w14:textId="1EDDC0D2" w:rsidR="00D44056" w:rsidRDefault="00D44056" w:rsidP="00D44056">
      <w:pPr>
        <w:pStyle w:val="ListParagraph"/>
        <w:numPr>
          <w:ilvl w:val="0"/>
          <w:numId w:val="63"/>
        </w:numPr>
      </w:pPr>
      <w:r w:rsidRPr="00D44056">
        <w:rPr>
          <w:rFonts w:ascii="IBM Plex Sans SemiBold" w:hAnsi="IBM Plex Sans SemiBold"/>
        </w:rPr>
        <w:t>Pricing Integration</w:t>
      </w:r>
      <w:r w:rsidRPr="00D44056">
        <w:rPr>
          <w:rFonts w:ascii="IBM Plex Sans SemiBold" w:hAnsi="IBM Plex Sans SemiBold"/>
        </w:rPr>
        <w:t>.</w:t>
      </w:r>
      <w:r w:rsidRPr="00D44056">
        <w:rPr>
          <w:rFonts w:ascii="IBM Plex Sans SemiBold" w:hAnsi="IBM Plex Sans SemiBold"/>
        </w:rPr>
        <w:br/>
      </w:r>
      <w:r>
        <w:t>Multiplicative or grid‑based adjustments based on loss propensity.</w:t>
      </w:r>
    </w:p>
    <w:p w14:paraId="05505558" w14:textId="66FD71F8" w:rsidR="008579B7" w:rsidRPr="008579B7" w:rsidRDefault="00D44056" w:rsidP="00D44056">
      <w:r>
        <w:t>This layer does not replace risk scoring or exposure estimation.</w:t>
      </w:r>
      <w:r>
        <w:t xml:space="preserve"> </w:t>
      </w:r>
      <w:r>
        <w:t>It runs in parallel, providing an additional, actuarially grounded dimension for pricing and portfolio management.</w:t>
      </w:r>
    </w:p>
    <w:p w14:paraId="422E61A3" w14:textId="4C94B661" w:rsidR="009851B8" w:rsidRDefault="009851B8" w:rsidP="009851B8">
      <w:pPr>
        <w:pStyle w:val="Heading2"/>
      </w:pPr>
      <w:r>
        <w:lastRenderedPageBreak/>
        <w:t>How It Integrates</w:t>
      </w:r>
    </w:p>
    <w:p w14:paraId="710ACFAB" w14:textId="044A0843" w:rsidR="00BB5C79" w:rsidRDefault="00BB5C79" w:rsidP="00D44056">
      <w:r w:rsidRPr="00BB5C79">
        <w:t xml:space="preserve">The </w:t>
      </w:r>
      <w:r>
        <w:t>Loss Signal Correlation Layer</w:t>
      </w:r>
      <w:r w:rsidRPr="00BB5C79">
        <w:t xml:space="preserve"> augments the Scoring Architecture:</w:t>
      </w:r>
    </w:p>
    <w:p w14:paraId="6CF73D66" w14:textId="34F2F204" w:rsidR="00BB5C79" w:rsidRDefault="00BB5C79" w:rsidP="00D44056">
      <w:r>
        <w:t>Risk Tier × Exposure Band × Complexity Category</w:t>
      </w:r>
      <w:r w:rsidR="00440C70">
        <w:t xml:space="preserve"> × </w:t>
      </w:r>
      <w:r>
        <w:t>Loss Propensity</w:t>
      </w:r>
      <w:r>
        <w:t xml:space="preserve"> → Rate → Premium</w:t>
      </w:r>
    </w:p>
    <w:p w14:paraId="539B902B" w14:textId="289E0B7F" w:rsidR="00BB5C79" w:rsidRDefault="00BB5C79" w:rsidP="00D44056">
      <w:r>
        <w:t>This enables:</w:t>
      </w:r>
    </w:p>
    <w:p w14:paraId="211E1C15" w14:textId="30C36391" w:rsidR="00D44056" w:rsidRDefault="00BB5C79" w:rsidP="00D44056">
      <w:pPr>
        <w:pStyle w:val="ListParagraph"/>
        <w:numPr>
          <w:ilvl w:val="0"/>
          <w:numId w:val="65"/>
        </w:numPr>
      </w:pPr>
      <w:r>
        <w:t>c</w:t>
      </w:r>
      <w:r w:rsidR="00D44056">
        <w:t xml:space="preserve">ontinuous </w:t>
      </w:r>
      <w:r>
        <w:t>monitoring, with sig</w:t>
      </w:r>
      <w:r w:rsidR="00D44056">
        <w:t>nal drift trigger</w:t>
      </w:r>
      <w:r>
        <w:t>ing</w:t>
      </w:r>
      <w:r w:rsidR="00D44056">
        <w:t xml:space="preserve"> alerts</w:t>
      </w:r>
      <w:r>
        <w:t xml:space="preserve">, </w:t>
      </w:r>
      <w:r w:rsidR="00D44056">
        <w:t>deterioration warnings, and renewal‑stage interventions.</w:t>
      </w:r>
    </w:p>
    <w:p w14:paraId="3D58F96B" w14:textId="2EE9F39D" w:rsidR="00BB5C79" w:rsidRDefault="00BB5C79" w:rsidP="00BB5C79">
      <w:pPr>
        <w:pStyle w:val="ListParagraph"/>
        <w:numPr>
          <w:ilvl w:val="0"/>
          <w:numId w:val="65"/>
        </w:numPr>
      </w:pPr>
      <w:r>
        <w:t>c</w:t>
      </w:r>
      <w:r>
        <w:t>ohort Identification</w:t>
      </w:r>
      <w:r>
        <w:t>, r</w:t>
      </w:r>
      <w:r>
        <w:t xml:space="preserve">isks </w:t>
      </w:r>
      <w:r>
        <w:t>can be assigned to</w:t>
      </w:r>
      <w:r>
        <w:t xml:space="preserve"> peer groups with shared loss patterns.</w:t>
      </w:r>
    </w:p>
    <w:p w14:paraId="31449880" w14:textId="5088DB2C" w:rsidR="008579B7" w:rsidRPr="008579B7" w:rsidRDefault="00291B5D" w:rsidP="00BB5C79">
      <w:pPr>
        <w:pStyle w:val="ListParagraph"/>
        <w:numPr>
          <w:ilvl w:val="0"/>
          <w:numId w:val="65"/>
        </w:numPr>
      </w:pPr>
      <w:r w:rsidRPr="00291B5D">
        <w:t>predictive modelling of frequency and severity.</w:t>
      </w:r>
    </w:p>
    <w:p w14:paraId="575E838A" w14:textId="3BC0049A" w:rsidR="006E1AD1" w:rsidRDefault="005521AE" w:rsidP="006E1AD1">
      <w:pPr>
        <w:pStyle w:val="Heading1"/>
      </w:pPr>
      <w:r>
        <w:t xml:space="preserve">End-to-End </w:t>
      </w:r>
      <w:r w:rsidR="006E1AD1">
        <w:t>Model Architecture</w:t>
      </w:r>
    </w:p>
    <w:p w14:paraId="3CF9B3A9" w14:textId="40F8E1B4" w:rsidR="007F3164" w:rsidRPr="007F3164" w:rsidRDefault="007F3164" w:rsidP="007F3164">
      <w:r>
        <w:t>T</w:t>
      </w:r>
      <w:r w:rsidRPr="007F3164">
        <w:t>he model architecture follows a deterministic, auditable flow. Each stage transforms observable signals into underwriting decisions.</w:t>
      </w:r>
    </w:p>
    <w:p w14:paraId="0D1BF8EF"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Signal Collection  </w:t>
      </w:r>
    </w:p>
    <w:p w14:paraId="0529994F" w14:textId="77777777" w:rsidR="008278D3" w:rsidRDefault="008278D3" w:rsidP="008278D3">
      <w:pPr>
        <w:pStyle w:val="ListParagraph"/>
        <w:numPr>
          <w:ilvl w:val="0"/>
          <w:numId w:val="66"/>
        </w:numPr>
      </w:pPr>
      <w:r>
        <w:t>Externally observable signals are collected across all configured categories for each submission.</w:t>
      </w:r>
    </w:p>
    <w:p w14:paraId="7F5792B3"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Signal Scoring  </w:t>
      </w:r>
    </w:p>
    <w:p w14:paraId="37CFB7F1" w14:textId="77777777" w:rsidR="008278D3" w:rsidRDefault="008278D3" w:rsidP="008278D3">
      <w:pPr>
        <w:pStyle w:val="ListParagraph"/>
        <w:numPr>
          <w:ilvl w:val="0"/>
          <w:numId w:val="66"/>
        </w:numPr>
      </w:pPr>
      <w:r>
        <w:t xml:space="preserve">Each signal is normalised to a 0–100 score using a defined, deterministic algorithm. </w:t>
      </w:r>
    </w:p>
    <w:p w14:paraId="5DA3E8FE" w14:textId="7F6098B8" w:rsidR="008278D3" w:rsidRDefault="008278D3" w:rsidP="008278D3">
      <w:pPr>
        <w:pStyle w:val="ListParagraph"/>
        <w:numPr>
          <w:ilvl w:val="0"/>
          <w:numId w:val="66"/>
        </w:numPr>
      </w:pPr>
      <w:r>
        <w:t>No subjectivity is permitted.</w:t>
      </w:r>
    </w:p>
    <w:p w14:paraId="2D05C009"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Composite Scoring  </w:t>
      </w:r>
    </w:p>
    <w:p w14:paraId="50A4D5BC" w14:textId="77777777" w:rsidR="008278D3" w:rsidRDefault="008278D3" w:rsidP="008278D3">
      <w:pPr>
        <w:pStyle w:val="ListParagraph"/>
        <w:numPr>
          <w:ilvl w:val="0"/>
          <w:numId w:val="66"/>
        </w:numPr>
      </w:pPr>
      <w:r>
        <w:t>Signals are weighted and aggregated into a composite score (0–1000), with weights defined by the configuration.</w:t>
      </w:r>
    </w:p>
    <w:p w14:paraId="00E4F4B9"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Tier Assignment  </w:t>
      </w:r>
    </w:p>
    <w:p w14:paraId="72B35B2D" w14:textId="77777777" w:rsidR="008278D3" w:rsidRDefault="008278D3" w:rsidP="008278D3">
      <w:pPr>
        <w:pStyle w:val="ListParagraph"/>
        <w:numPr>
          <w:ilvl w:val="0"/>
          <w:numId w:val="66"/>
        </w:numPr>
      </w:pPr>
      <w:r>
        <w:t xml:space="preserve">The composite score maps to a risk tier. </w:t>
      </w:r>
    </w:p>
    <w:p w14:paraId="6A8D0BA9" w14:textId="36D05E03" w:rsidR="008278D3" w:rsidRDefault="008278D3" w:rsidP="008278D3">
      <w:pPr>
        <w:pStyle w:val="ListParagraph"/>
        <w:numPr>
          <w:ilvl w:val="0"/>
          <w:numId w:val="66"/>
        </w:numPr>
      </w:pPr>
      <w:r>
        <w:t>The tier determines baseline decision logic (approve, modify, refer, decline).</w:t>
      </w:r>
    </w:p>
    <w:p w14:paraId="250B2E11"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Exposure Shadow Layer  </w:t>
      </w:r>
    </w:p>
    <w:p w14:paraId="38F315A6" w14:textId="77777777" w:rsidR="008278D3" w:rsidRDefault="008278D3" w:rsidP="008278D3">
      <w:pPr>
        <w:pStyle w:val="ListParagraph"/>
        <w:numPr>
          <w:ilvl w:val="0"/>
          <w:numId w:val="66"/>
        </w:numPr>
      </w:pPr>
      <w:r>
        <w:t>Magnitude and complexity scores are calculated, mapping to exposure band and complexity category.</w:t>
      </w:r>
    </w:p>
    <w:p w14:paraId="65FF574E"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Loss Signal Correlation Layer  </w:t>
      </w:r>
    </w:p>
    <w:p w14:paraId="0FC54672" w14:textId="77777777" w:rsidR="008278D3" w:rsidRDefault="008278D3" w:rsidP="008278D3">
      <w:pPr>
        <w:pStyle w:val="ListParagraph"/>
        <w:numPr>
          <w:ilvl w:val="0"/>
          <w:numId w:val="66"/>
        </w:numPr>
      </w:pPr>
      <w:r>
        <w:t>Loss propensity and severity scores are calculated in parallel, mapping to loss bands and cohort.</w:t>
      </w:r>
    </w:p>
    <w:p w14:paraId="23C39DAA"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Pricing  </w:t>
      </w:r>
    </w:p>
    <w:p w14:paraId="1C9D1EA2" w14:textId="77777777" w:rsidR="00E47963" w:rsidRDefault="008278D3" w:rsidP="008278D3">
      <w:pPr>
        <w:pStyle w:val="ListParagraph"/>
        <w:numPr>
          <w:ilvl w:val="0"/>
          <w:numId w:val="66"/>
        </w:numPr>
      </w:pPr>
      <w:r>
        <w:t>Risk tier, exposure band, complexity category, and loss propensity determine a base rate.</w:t>
      </w:r>
    </w:p>
    <w:p w14:paraId="22843782" w14:textId="18A8BE66" w:rsidR="008278D3" w:rsidRDefault="008278D3" w:rsidP="008278D3">
      <w:pPr>
        <w:pStyle w:val="ListParagraph"/>
        <w:numPr>
          <w:ilvl w:val="0"/>
          <w:numId w:val="66"/>
        </w:numPr>
      </w:pPr>
      <w:r>
        <w:t>Deterministic adjustments are applied.</w:t>
      </w:r>
    </w:p>
    <w:p w14:paraId="011E7621" w14:textId="77777777" w:rsidR="008278D3" w:rsidRPr="008278D3" w:rsidRDefault="008278D3" w:rsidP="008278D3">
      <w:pPr>
        <w:rPr>
          <w:rFonts w:ascii="IBM Plex Sans SemiBold" w:hAnsi="IBM Plex Sans SemiBold"/>
        </w:rPr>
      </w:pPr>
      <w:r w:rsidRPr="008278D3">
        <w:rPr>
          <w:rFonts w:ascii="IBM Plex Sans SemiBold" w:hAnsi="IBM Plex Sans SemiBold"/>
        </w:rPr>
        <w:t xml:space="preserve">Decision  </w:t>
      </w:r>
    </w:p>
    <w:p w14:paraId="5FE91887" w14:textId="08A67E39" w:rsidR="006E1AD1" w:rsidRDefault="008278D3" w:rsidP="008278D3">
      <w:pPr>
        <w:pStyle w:val="ListParagraph"/>
        <w:numPr>
          <w:ilvl w:val="0"/>
          <w:numId w:val="66"/>
        </w:numPr>
      </w:pPr>
      <w:r>
        <w:t>A final decision (approve, modify, refer, decline) is made, and a complete audit trail is persisted.</w:t>
      </w:r>
    </w:p>
    <w:p w14:paraId="7A1C187E" w14:textId="4A547A44" w:rsidR="00430329" w:rsidRPr="008B4C60" w:rsidRDefault="00430329" w:rsidP="00430329">
      <w:r>
        <w:t>This architecture is:</w:t>
      </w:r>
      <w:r>
        <w:t xml:space="preserve"> </w:t>
      </w:r>
      <w:r>
        <w:t>deterministic</w:t>
      </w:r>
      <w:r>
        <w:t xml:space="preserve">, </w:t>
      </w:r>
      <w:r>
        <w:t>auditable</w:t>
      </w:r>
      <w:r>
        <w:t xml:space="preserve">, </w:t>
      </w:r>
      <w:r>
        <w:t>machine‑readable</w:t>
      </w:r>
      <w:r>
        <w:t xml:space="preserve">, </w:t>
      </w:r>
      <w:r>
        <w:t>agentic‑ready</w:t>
      </w:r>
      <w:r>
        <w:t xml:space="preserve">, and </w:t>
      </w:r>
      <w:r>
        <w:t>globally scalable</w:t>
      </w:r>
      <w:r>
        <w:t>.</w:t>
      </w:r>
    </w:p>
    <w:p w14:paraId="7EF328F7" w14:textId="4FE9F327" w:rsidR="00F51085" w:rsidRDefault="00F51085" w:rsidP="00C96B1B">
      <w:pPr>
        <w:pStyle w:val="Heading1"/>
      </w:pPr>
      <w:r>
        <w:lastRenderedPageBreak/>
        <w:t>Economic Impact</w:t>
      </w:r>
    </w:p>
    <w:p w14:paraId="05F7F81F" w14:textId="4E2FB905" w:rsidR="00D22C44" w:rsidRPr="00D22C44" w:rsidRDefault="00D22C44" w:rsidP="00D22C44">
      <w:r w:rsidRPr="00D22C44">
        <w:t>The following projections are based on model architecture and assume signal availability ≥ 80% and straight-through processing rates ≥ 60%. Realisation timeline is estimated at 18–36 months from full deployment.</w:t>
      </w:r>
    </w:p>
    <w:p w14:paraId="2DC91944" w14:textId="0CB6282D" w:rsidR="00982FF7" w:rsidRDefault="00982FF7" w:rsidP="00982FF7">
      <w:pPr>
        <w:pStyle w:val="Heading2"/>
      </w:pPr>
      <w:r>
        <w:t>Expense</w:t>
      </w:r>
      <w:r w:rsidR="005521AE">
        <w:t xml:space="preserve"> R</w:t>
      </w:r>
      <w:r>
        <w:t>atios</w:t>
      </w:r>
    </w:p>
    <w:p w14:paraId="594DAE96" w14:textId="157040BA" w:rsidR="00B83CB3" w:rsidRDefault="0075018A" w:rsidP="00B83CB3">
      <w:r w:rsidRPr="0075018A">
        <w:t>DSI targets a structural reduction in expense ratio</w:t>
      </w:r>
      <w:r w:rsidR="00BA1855">
        <w:t xml:space="preserve"> </w:t>
      </w:r>
      <w:r w:rsidR="00BA1855" w:rsidRPr="00BA1855">
        <w:t>of approximately 22 points</w:t>
      </w:r>
      <w:r w:rsidRPr="0075018A">
        <w:t>:</w:t>
      </w:r>
    </w:p>
    <w:tbl>
      <w:tblPr>
        <w:tblStyle w:val="TableGrid"/>
        <w:tblW w:w="0" w:type="auto"/>
        <w:tblLook w:val="04A0" w:firstRow="1" w:lastRow="0" w:firstColumn="1" w:lastColumn="0" w:noHBand="0" w:noVBand="1"/>
      </w:tblPr>
      <w:tblGrid>
        <w:gridCol w:w="3005"/>
        <w:gridCol w:w="2606"/>
        <w:gridCol w:w="2606"/>
      </w:tblGrid>
      <w:tr w:rsidR="00C245BE" w14:paraId="35270A1A" w14:textId="77777777" w:rsidTr="003D51C7">
        <w:trPr>
          <w:tblHeader/>
        </w:trPr>
        <w:tc>
          <w:tcPr>
            <w:tcW w:w="3005" w:type="dxa"/>
            <w:shd w:val="clear" w:color="auto" w:fill="7A766F" w:themeFill="accent5"/>
          </w:tcPr>
          <w:p w14:paraId="654FD95B" w14:textId="348D7EAC" w:rsidR="00C245BE" w:rsidRPr="0007440B" w:rsidRDefault="00C245BE" w:rsidP="008B4C60">
            <w:pPr>
              <w:jc w:val="center"/>
              <w:rPr>
                <w:color w:val="FFFFFF" w:themeColor="background1"/>
              </w:rPr>
            </w:pPr>
            <w:r w:rsidRPr="0007440B">
              <w:rPr>
                <w:color w:val="FFFFFF" w:themeColor="background1"/>
              </w:rPr>
              <w:t>Metric</w:t>
            </w:r>
          </w:p>
        </w:tc>
        <w:tc>
          <w:tcPr>
            <w:tcW w:w="2606" w:type="dxa"/>
            <w:shd w:val="clear" w:color="auto" w:fill="7A766F" w:themeFill="accent5"/>
          </w:tcPr>
          <w:p w14:paraId="435271AB" w14:textId="15B79FCF" w:rsidR="00C245BE" w:rsidRPr="0007440B" w:rsidRDefault="00C245BE" w:rsidP="008B4C60">
            <w:pPr>
              <w:jc w:val="center"/>
              <w:rPr>
                <w:color w:val="FFFFFF" w:themeColor="background1"/>
              </w:rPr>
            </w:pPr>
            <w:r w:rsidRPr="0007440B">
              <w:rPr>
                <w:color w:val="FFFFFF" w:themeColor="background1"/>
              </w:rPr>
              <w:t>Traditional Model</w:t>
            </w:r>
          </w:p>
        </w:tc>
        <w:tc>
          <w:tcPr>
            <w:tcW w:w="2606" w:type="dxa"/>
            <w:shd w:val="clear" w:color="auto" w:fill="7A766F" w:themeFill="accent5"/>
          </w:tcPr>
          <w:p w14:paraId="4CDF7F64" w14:textId="2389F523" w:rsidR="00C245BE" w:rsidRPr="0007440B" w:rsidRDefault="00C245BE" w:rsidP="008B4C60">
            <w:pPr>
              <w:jc w:val="center"/>
              <w:rPr>
                <w:color w:val="FFFFFF" w:themeColor="background1"/>
              </w:rPr>
            </w:pPr>
            <w:r w:rsidRPr="0007440B">
              <w:rPr>
                <w:color w:val="FFFFFF" w:themeColor="background1"/>
              </w:rPr>
              <w:t>DSI Target</w:t>
            </w:r>
          </w:p>
        </w:tc>
      </w:tr>
      <w:tr w:rsidR="00C245BE" w14:paraId="50442958" w14:textId="77777777" w:rsidTr="003D51C7">
        <w:tc>
          <w:tcPr>
            <w:tcW w:w="3005" w:type="dxa"/>
          </w:tcPr>
          <w:p w14:paraId="35BB5B11" w14:textId="2F538CE7" w:rsidR="00C245BE" w:rsidRDefault="00C245BE" w:rsidP="00B83CB3">
            <w:r>
              <w:t>Staff Costs</w:t>
            </w:r>
          </w:p>
        </w:tc>
        <w:tc>
          <w:tcPr>
            <w:tcW w:w="2606" w:type="dxa"/>
          </w:tcPr>
          <w:p w14:paraId="6FA169EC" w14:textId="4853EAD4" w:rsidR="00C245BE" w:rsidRDefault="00C245BE" w:rsidP="008B4C60">
            <w:pPr>
              <w:jc w:val="right"/>
            </w:pPr>
            <w:r>
              <w:t>12%</w:t>
            </w:r>
          </w:p>
        </w:tc>
        <w:tc>
          <w:tcPr>
            <w:tcW w:w="2606" w:type="dxa"/>
          </w:tcPr>
          <w:p w14:paraId="1E697F45" w14:textId="6B9E98B2" w:rsidR="00C245BE" w:rsidRDefault="00C245BE" w:rsidP="008B4C60">
            <w:pPr>
              <w:jc w:val="right"/>
            </w:pPr>
            <w:r>
              <w:t>4%</w:t>
            </w:r>
          </w:p>
        </w:tc>
      </w:tr>
      <w:tr w:rsidR="00C245BE" w14:paraId="48A5BC5E" w14:textId="77777777" w:rsidTr="003D51C7">
        <w:tc>
          <w:tcPr>
            <w:tcW w:w="3005" w:type="dxa"/>
            <w:shd w:val="clear" w:color="auto" w:fill="E8E3DA" w:themeFill="background2"/>
          </w:tcPr>
          <w:p w14:paraId="27079001" w14:textId="2E224384" w:rsidR="00C245BE" w:rsidRDefault="00C245BE" w:rsidP="00B83CB3">
            <w:r>
              <w:t>Office and Infrastructure</w:t>
            </w:r>
          </w:p>
        </w:tc>
        <w:tc>
          <w:tcPr>
            <w:tcW w:w="2606" w:type="dxa"/>
            <w:shd w:val="clear" w:color="auto" w:fill="E8E3DA" w:themeFill="background2"/>
          </w:tcPr>
          <w:p w14:paraId="682C420A" w14:textId="4C4F97B0" w:rsidR="00C245BE" w:rsidRDefault="00C245BE" w:rsidP="008B4C60">
            <w:pPr>
              <w:jc w:val="right"/>
            </w:pPr>
            <w:r>
              <w:t>8%</w:t>
            </w:r>
          </w:p>
        </w:tc>
        <w:tc>
          <w:tcPr>
            <w:tcW w:w="2606" w:type="dxa"/>
            <w:shd w:val="clear" w:color="auto" w:fill="E8E3DA" w:themeFill="background2"/>
          </w:tcPr>
          <w:p w14:paraId="04EE6502" w14:textId="237989B4" w:rsidR="00C245BE" w:rsidRDefault="00C245BE" w:rsidP="008B4C60">
            <w:pPr>
              <w:jc w:val="right"/>
            </w:pPr>
            <w:r>
              <w:t>2%</w:t>
            </w:r>
          </w:p>
        </w:tc>
      </w:tr>
      <w:tr w:rsidR="00C245BE" w14:paraId="2359D519" w14:textId="77777777" w:rsidTr="003D51C7">
        <w:tc>
          <w:tcPr>
            <w:tcW w:w="3005" w:type="dxa"/>
          </w:tcPr>
          <w:p w14:paraId="25EBB3CE" w14:textId="22B28CBF" w:rsidR="00C245BE" w:rsidRDefault="00C245BE" w:rsidP="00B83CB3">
            <w:r>
              <w:t>Administration</w:t>
            </w:r>
          </w:p>
        </w:tc>
        <w:tc>
          <w:tcPr>
            <w:tcW w:w="2606" w:type="dxa"/>
          </w:tcPr>
          <w:p w14:paraId="5E5DA141" w14:textId="5BD66B45" w:rsidR="00C245BE" w:rsidRDefault="0007440B" w:rsidP="008B4C60">
            <w:pPr>
              <w:jc w:val="right"/>
            </w:pPr>
            <w:r>
              <w:t>4%</w:t>
            </w:r>
          </w:p>
        </w:tc>
        <w:tc>
          <w:tcPr>
            <w:tcW w:w="2606" w:type="dxa"/>
          </w:tcPr>
          <w:p w14:paraId="49001607" w14:textId="22E3D422" w:rsidR="00C245BE" w:rsidRDefault="0007440B" w:rsidP="008B4C60">
            <w:pPr>
              <w:jc w:val="right"/>
            </w:pPr>
            <w:r>
              <w:t>1%</w:t>
            </w:r>
          </w:p>
        </w:tc>
      </w:tr>
      <w:tr w:rsidR="00C245BE" w14:paraId="5851AE1E" w14:textId="77777777" w:rsidTr="003D51C7">
        <w:tc>
          <w:tcPr>
            <w:tcW w:w="3005" w:type="dxa"/>
            <w:shd w:val="clear" w:color="auto" w:fill="E8E3DA" w:themeFill="background2"/>
          </w:tcPr>
          <w:p w14:paraId="7BCEEEF1" w14:textId="6944585D" w:rsidR="00C245BE" w:rsidRDefault="0007440B" w:rsidP="00B83CB3">
            <w:r>
              <w:t>Brokerage and Commissions</w:t>
            </w:r>
          </w:p>
        </w:tc>
        <w:tc>
          <w:tcPr>
            <w:tcW w:w="2606" w:type="dxa"/>
            <w:shd w:val="clear" w:color="auto" w:fill="E8E3DA" w:themeFill="background2"/>
          </w:tcPr>
          <w:p w14:paraId="4CB19EEB" w14:textId="292E3F47" w:rsidR="00C245BE" w:rsidRDefault="0007440B" w:rsidP="008B4C60">
            <w:pPr>
              <w:jc w:val="right"/>
            </w:pPr>
            <w:r>
              <w:t>11%</w:t>
            </w:r>
          </w:p>
        </w:tc>
        <w:tc>
          <w:tcPr>
            <w:tcW w:w="2606" w:type="dxa"/>
            <w:shd w:val="clear" w:color="auto" w:fill="E8E3DA" w:themeFill="background2"/>
          </w:tcPr>
          <w:p w14:paraId="552A7184" w14:textId="66E63CDD" w:rsidR="00C245BE" w:rsidRDefault="0007440B" w:rsidP="008B4C60">
            <w:pPr>
              <w:jc w:val="right"/>
            </w:pPr>
            <w:r>
              <w:t>6%</w:t>
            </w:r>
          </w:p>
        </w:tc>
      </w:tr>
      <w:tr w:rsidR="004B1C6C" w14:paraId="5656A659" w14:textId="77777777" w:rsidTr="003D51C7">
        <w:tc>
          <w:tcPr>
            <w:tcW w:w="3005" w:type="dxa"/>
            <w:shd w:val="clear" w:color="auto" w:fill="0B3954" w:themeFill="accent1"/>
          </w:tcPr>
          <w:p w14:paraId="18DF62D8" w14:textId="34425E23" w:rsidR="004B1C6C" w:rsidRPr="003A3C68" w:rsidRDefault="004B1C6C" w:rsidP="00B83CB3">
            <w:pPr>
              <w:rPr>
                <w:rFonts w:ascii="IBM Plex Sans Medium" w:hAnsi="IBM Plex Sans Medium"/>
              </w:rPr>
            </w:pPr>
            <w:r w:rsidRPr="003A3C68">
              <w:rPr>
                <w:rFonts w:ascii="IBM Plex Sans Medium" w:hAnsi="IBM Plex Sans Medium"/>
              </w:rPr>
              <w:t>Total</w:t>
            </w:r>
          </w:p>
        </w:tc>
        <w:tc>
          <w:tcPr>
            <w:tcW w:w="2606" w:type="dxa"/>
            <w:shd w:val="clear" w:color="auto" w:fill="0B3954" w:themeFill="accent1"/>
          </w:tcPr>
          <w:p w14:paraId="4CDFC44C" w14:textId="473360AC" w:rsidR="004B1C6C" w:rsidRPr="003A3C68" w:rsidRDefault="00950573" w:rsidP="008B4C60">
            <w:pPr>
              <w:jc w:val="right"/>
              <w:rPr>
                <w:rFonts w:ascii="IBM Plex Sans Medium" w:hAnsi="IBM Plex Sans Medium"/>
              </w:rPr>
            </w:pPr>
            <w:r w:rsidRPr="003A3C68">
              <w:rPr>
                <w:rFonts w:ascii="IBM Plex Sans Medium" w:hAnsi="IBM Plex Sans Medium"/>
              </w:rPr>
              <w:t>35%</w:t>
            </w:r>
          </w:p>
        </w:tc>
        <w:tc>
          <w:tcPr>
            <w:tcW w:w="2606" w:type="dxa"/>
            <w:shd w:val="clear" w:color="auto" w:fill="0B3954" w:themeFill="accent1"/>
          </w:tcPr>
          <w:p w14:paraId="3F7A6A8E" w14:textId="44BF747A" w:rsidR="004B1C6C" w:rsidRPr="003A3C68" w:rsidRDefault="00950573" w:rsidP="008B4C60">
            <w:pPr>
              <w:jc w:val="right"/>
              <w:rPr>
                <w:rFonts w:ascii="IBM Plex Sans Medium" w:hAnsi="IBM Plex Sans Medium"/>
              </w:rPr>
            </w:pPr>
            <w:r w:rsidRPr="003A3C68">
              <w:rPr>
                <w:rFonts w:ascii="IBM Plex Sans Medium" w:hAnsi="IBM Plex Sans Medium"/>
              </w:rPr>
              <w:t>13%</w:t>
            </w:r>
          </w:p>
        </w:tc>
      </w:tr>
    </w:tbl>
    <w:p w14:paraId="3F35F19F" w14:textId="77777777" w:rsidR="00B3133E" w:rsidRDefault="00B3133E" w:rsidP="00B3133E">
      <w:pPr>
        <w:pStyle w:val="Heading2"/>
      </w:pPr>
      <w:r>
        <w:t>Operational Metrics</w:t>
      </w:r>
    </w:p>
    <w:tbl>
      <w:tblPr>
        <w:tblStyle w:val="TableGrid"/>
        <w:tblW w:w="0" w:type="auto"/>
        <w:tblLook w:val="04A0" w:firstRow="1" w:lastRow="0" w:firstColumn="1" w:lastColumn="0" w:noHBand="0" w:noVBand="1"/>
      </w:tblPr>
      <w:tblGrid>
        <w:gridCol w:w="2985"/>
        <w:gridCol w:w="2616"/>
        <w:gridCol w:w="2616"/>
      </w:tblGrid>
      <w:tr w:rsidR="00B3133E" w14:paraId="24C4DEC9" w14:textId="77777777" w:rsidTr="003D51C7">
        <w:trPr>
          <w:tblHeader/>
        </w:trPr>
        <w:tc>
          <w:tcPr>
            <w:tcW w:w="2985" w:type="dxa"/>
            <w:shd w:val="clear" w:color="auto" w:fill="7A766F" w:themeFill="accent5"/>
          </w:tcPr>
          <w:p w14:paraId="138339EE" w14:textId="77777777" w:rsidR="00B3133E" w:rsidRPr="0007440B" w:rsidRDefault="00B3133E" w:rsidP="000A03F5">
            <w:pPr>
              <w:jc w:val="center"/>
              <w:rPr>
                <w:color w:val="FFFFFF" w:themeColor="background1"/>
              </w:rPr>
            </w:pPr>
            <w:r>
              <w:rPr>
                <w:color w:val="FFFFFF" w:themeColor="background1"/>
              </w:rPr>
              <w:t>Metric</w:t>
            </w:r>
          </w:p>
        </w:tc>
        <w:tc>
          <w:tcPr>
            <w:tcW w:w="2616" w:type="dxa"/>
            <w:shd w:val="clear" w:color="auto" w:fill="7A766F" w:themeFill="accent5"/>
          </w:tcPr>
          <w:p w14:paraId="2C5218C8" w14:textId="77777777" w:rsidR="00B3133E" w:rsidRPr="0007440B" w:rsidRDefault="00B3133E" w:rsidP="000A03F5">
            <w:pPr>
              <w:jc w:val="center"/>
              <w:rPr>
                <w:color w:val="FFFFFF" w:themeColor="background1"/>
              </w:rPr>
            </w:pPr>
            <w:r>
              <w:rPr>
                <w:color w:val="FFFFFF" w:themeColor="background1"/>
              </w:rPr>
              <w:t>Traditional Model</w:t>
            </w:r>
          </w:p>
        </w:tc>
        <w:tc>
          <w:tcPr>
            <w:tcW w:w="2616" w:type="dxa"/>
            <w:shd w:val="clear" w:color="auto" w:fill="7A766F" w:themeFill="accent5"/>
          </w:tcPr>
          <w:p w14:paraId="648D88C5" w14:textId="77777777" w:rsidR="00B3133E" w:rsidRPr="0007440B" w:rsidRDefault="00B3133E" w:rsidP="000A03F5">
            <w:pPr>
              <w:jc w:val="center"/>
              <w:rPr>
                <w:color w:val="FFFFFF" w:themeColor="background1"/>
              </w:rPr>
            </w:pPr>
            <w:r w:rsidRPr="0007440B">
              <w:rPr>
                <w:color w:val="FFFFFF" w:themeColor="background1"/>
              </w:rPr>
              <w:t>DSI Target</w:t>
            </w:r>
          </w:p>
        </w:tc>
      </w:tr>
      <w:tr w:rsidR="003D51C7" w14:paraId="463C6DBB" w14:textId="77777777" w:rsidTr="003D51C7">
        <w:tc>
          <w:tcPr>
            <w:tcW w:w="2985" w:type="dxa"/>
          </w:tcPr>
          <w:p w14:paraId="2FA38A1B" w14:textId="2235B23D" w:rsidR="003D51C7" w:rsidRDefault="003D51C7" w:rsidP="003D51C7">
            <w:r w:rsidRPr="007C7F1D">
              <w:t>Time to quote</w:t>
            </w:r>
          </w:p>
        </w:tc>
        <w:tc>
          <w:tcPr>
            <w:tcW w:w="2616" w:type="dxa"/>
          </w:tcPr>
          <w:p w14:paraId="2FF5F36B" w14:textId="7FEFCC1B" w:rsidR="003D51C7" w:rsidRDefault="003D51C7" w:rsidP="003D51C7">
            <w:pPr>
              <w:jc w:val="right"/>
            </w:pPr>
            <w:r w:rsidRPr="007C7F1D">
              <w:t>3–10 days</w:t>
            </w:r>
          </w:p>
        </w:tc>
        <w:tc>
          <w:tcPr>
            <w:tcW w:w="2616" w:type="dxa"/>
          </w:tcPr>
          <w:p w14:paraId="09881FE6" w14:textId="283D6023" w:rsidR="003D51C7" w:rsidRDefault="003D51C7" w:rsidP="003D51C7">
            <w:pPr>
              <w:jc w:val="right"/>
            </w:pPr>
            <w:r w:rsidRPr="007C7F1D">
              <w:t>&lt; 60 seconds</w:t>
            </w:r>
          </w:p>
        </w:tc>
      </w:tr>
      <w:tr w:rsidR="003D51C7" w14:paraId="326BFDC1" w14:textId="77777777" w:rsidTr="003D51C7">
        <w:tc>
          <w:tcPr>
            <w:tcW w:w="2985" w:type="dxa"/>
            <w:shd w:val="clear" w:color="auto" w:fill="E8E3DA" w:themeFill="background2"/>
          </w:tcPr>
          <w:p w14:paraId="174A7B19" w14:textId="25F6AC8C" w:rsidR="003D51C7" w:rsidRDefault="003D51C7" w:rsidP="003D51C7">
            <w:r w:rsidRPr="007C7F1D">
              <w:t>Cost per submission</w:t>
            </w:r>
          </w:p>
        </w:tc>
        <w:tc>
          <w:tcPr>
            <w:tcW w:w="2616" w:type="dxa"/>
            <w:shd w:val="clear" w:color="auto" w:fill="E8E3DA" w:themeFill="background2"/>
          </w:tcPr>
          <w:p w14:paraId="1F613198" w14:textId="4424F9A1" w:rsidR="003D51C7" w:rsidRDefault="003D51C7" w:rsidP="003D51C7">
            <w:pPr>
              <w:jc w:val="right"/>
            </w:pPr>
            <w:r w:rsidRPr="007C7F1D">
              <w:t>$150–</w:t>
            </w:r>
            <w:r>
              <w:t>650</w:t>
            </w:r>
          </w:p>
        </w:tc>
        <w:tc>
          <w:tcPr>
            <w:tcW w:w="2616" w:type="dxa"/>
            <w:shd w:val="clear" w:color="auto" w:fill="E8E3DA" w:themeFill="background2"/>
          </w:tcPr>
          <w:p w14:paraId="6EB860F1" w14:textId="755E4A35" w:rsidR="003D51C7" w:rsidRDefault="003D51C7" w:rsidP="003D51C7">
            <w:pPr>
              <w:jc w:val="right"/>
            </w:pPr>
            <w:r w:rsidRPr="007C7F1D">
              <w:t>&lt; $10</w:t>
            </w:r>
          </w:p>
        </w:tc>
      </w:tr>
      <w:tr w:rsidR="003D51C7" w14:paraId="71893035" w14:textId="77777777" w:rsidTr="003D51C7">
        <w:tc>
          <w:tcPr>
            <w:tcW w:w="2985" w:type="dxa"/>
          </w:tcPr>
          <w:p w14:paraId="73F2A6DB" w14:textId="3D51C5D2" w:rsidR="003D51C7" w:rsidRPr="00431360" w:rsidRDefault="003D51C7" w:rsidP="003D51C7">
            <w:r w:rsidRPr="007C7F1D">
              <w:t>Straight-through rate</w:t>
            </w:r>
          </w:p>
        </w:tc>
        <w:tc>
          <w:tcPr>
            <w:tcW w:w="2616" w:type="dxa"/>
          </w:tcPr>
          <w:p w14:paraId="3EF82648" w14:textId="051ED8CB" w:rsidR="003D51C7" w:rsidRDefault="003D51C7" w:rsidP="003D51C7">
            <w:pPr>
              <w:jc w:val="right"/>
            </w:pPr>
            <w:r w:rsidRPr="007C7F1D">
              <w:t>5–15%</w:t>
            </w:r>
          </w:p>
        </w:tc>
        <w:tc>
          <w:tcPr>
            <w:tcW w:w="2616" w:type="dxa"/>
          </w:tcPr>
          <w:p w14:paraId="50E16269" w14:textId="0B6F8C83" w:rsidR="003D51C7" w:rsidRDefault="003D51C7" w:rsidP="003D51C7">
            <w:pPr>
              <w:jc w:val="right"/>
            </w:pPr>
            <w:r w:rsidRPr="007C7F1D">
              <w:t>60–80%</w:t>
            </w:r>
          </w:p>
        </w:tc>
      </w:tr>
      <w:tr w:rsidR="003D51C7" w14:paraId="234BCF6F" w14:textId="77777777" w:rsidTr="003D51C7">
        <w:tc>
          <w:tcPr>
            <w:tcW w:w="2985" w:type="dxa"/>
            <w:shd w:val="clear" w:color="auto" w:fill="E8E3DA" w:themeFill="background2"/>
          </w:tcPr>
          <w:p w14:paraId="370B47D5" w14:textId="516E29DF" w:rsidR="003D51C7" w:rsidRPr="00431360" w:rsidRDefault="003D51C7" w:rsidP="003D51C7">
            <w:r w:rsidRPr="007C7F1D">
              <w:t>Model versioning</w:t>
            </w:r>
          </w:p>
        </w:tc>
        <w:tc>
          <w:tcPr>
            <w:tcW w:w="2616" w:type="dxa"/>
            <w:shd w:val="clear" w:color="auto" w:fill="E8E3DA" w:themeFill="background2"/>
          </w:tcPr>
          <w:p w14:paraId="46CF837B" w14:textId="0A493744" w:rsidR="003D51C7" w:rsidRDefault="003D51C7" w:rsidP="003D51C7">
            <w:r w:rsidRPr="007C7F1D">
              <w:t>Manual, inconsistent</w:t>
            </w:r>
          </w:p>
        </w:tc>
        <w:tc>
          <w:tcPr>
            <w:tcW w:w="2616" w:type="dxa"/>
            <w:shd w:val="clear" w:color="auto" w:fill="E8E3DA" w:themeFill="background2"/>
          </w:tcPr>
          <w:p w14:paraId="21F3DC01" w14:textId="35D9EAB8" w:rsidR="003D51C7" w:rsidRDefault="003D51C7" w:rsidP="003D51C7">
            <w:r w:rsidRPr="007C7F1D">
              <w:t>Automatic, immutable</w:t>
            </w:r>
          </w:p>
        </w:tc>
      </w:tr>
      <w:tr w:rsidR="003D51C7" w14:paraId="0C960376" w14:textId="77777777" w:rsidTr="003D51C7">
        <w:tc>
          <w:tcPr>
            <w:tcW w:w="2985" w:type="dxa"/>
          </w:tcPr>
          <w:p w14:paraId="2E618A3A" w14:textId="040E6578" w:rsidR="003D51C7" w:rsidRPr="00431360" w:rsidRDefault="003D51C7" w:rsidP="003D51C7">
            <w:r w:rsidRPr="007C7F1D">
              <w:t>Audit trail</w:t>
            </w:r>
          </w:p>
        </w:tc>
        <w:tc>
          <w:tcPr>
            <w:tcW w:w="2616" w:type="dxa"/>
          </w:tcPr>
          <w:p w14:paraId="6F008FAF" w14:textId="37577127" w:rsidR="003D51C7" w:rsidRDefault="003D51C7" w:rsidP="003D51C7">
            <w:r w:rsidRPr="007C7F1D">
              <w:t>Partial, reconstructed</w:t>
            </w:r>
          </w:p>
        </w:tc>
        <w:tc>
          <w:tcPr>
            <w:tcW w:w="2616" w:type="dxa"/>
          </w:tcPr>
          <w:p w14:paraId="03952AC2" w14:textId="309CC6BA" w:rsidR="003D51C7" w:rsidRDefault="003D51C7" w:rsidP="003D51C7">
            <w:r w:rsidRPr="007C7F1D">
              <w:t>Complete, immutable</w:t>
            </w:r>
          </w:p>
        </w:tc>
      </w:tr>
      <w:tr w:rsidR="003D51C7" w14:paraId="0ED45EA3" w14:textId="77777777" w:rsidTr="003D51C7">
        <w:tc>
          <w:tcPr>
            <w:tcW w:w="2985" w:type="dxa"/>
            <w:shd w:val="clear" w:color="auto" w:fill="E8E3DA" w:themeFill="background2"/>
          </w:tcPr>
          <w:p w14:paraId="720F7512" w14:textId="09809415" w:rsidR="003D51C7" w:rsidRPr="00431360" w:rsidRDefault="003D51C7" w:rsidP="003D51C7">
            <w:r w:rsidRPr="007C7F1D">
              <w:t>Scalability</w:t>
            </w:r>
          </w:p>
        </w:tc>
        <w:tc>
          <w:tcPr>
            <w:tcW w:w="2616" w:type="dxa"/>
            <w:shd w:val="clear" w:color="auto" w:fill="E8E3DA" w:themeFill="background2"/>
          </w:tcPr>
          <w:p w14:paraId="560B1E03" w14:textId="24BD9A2F" w:rsidR="003D51C7" w:rsidRDefault="003D51C7" w:rsidP="003D51C7">
            <w:r w:rsidRPr="007C7F1D">
              <w:t>Linear (headcount)</w:t>
            </w:r>
          </w:p>
        </w:tc>
        <w:tc>
          <w:tcPr>
            <w:tcW w:w="2616" w:type="dxa"/>
            <w:shd w:val="clear" w:color="auto" w:fill="E8E3DA" w:themeFill="background2"/>
          </w:tcPr>
          <w:p w14:paraId="038B3747" w14:textId="18D0CB87" w:rsidR="003D51C7" w:rsidRDefault="003D51C7" w:rsidP="003D51C7">
            <w:r w:rsidRPr="007C7F1D">
              <w:t>Logarithmic (compute)</w:t>
            </w:r>
          </w:p>
        </w:tc>
      </w:tr>
    </w:tbl>
    <w:p w14:paraId="09273FFA" w14:textId="6EC17DD7" w:rsidR="00F51085" w:rsidRDefault="00F51085" w:rsidP="00C96B1B">
      <w:pPr>
        <w:pStyle w:val="Heading2"/>
      </w:pPr>
      <w:r>
        <w:t>Loss</w:t>
      </w:r>
      <w:r w:rsidR="005521AE">
        <w:t xml:space="preserve"> R</w:t>
      </w:r>
      <w:r>
        <w:t>atio</w:t>
      </w:r>
      <w:r w:rsidR="00982FF7">
        <w:t>s</w:t>
      </w:r>
    </w:p>
    <w:p w14:paraId="41CE1636" w14:textId="2B9BDCBA" w:rsidR="00F51085" w:rsidRDefault="000432E6" w:rsidP="00F51085">
      <w:r w:rsidRPr="000432E6">
        <w:t>DSI targets a structural improvement in loss ratios through two mechanisms:</w:t>
      </w:r>
    </w:p>
    <w:tbl>
      <w:tblPr>
        <w:tblStyle w:val="TableGrid"/>
        <w:tblW w:w="0" w:type="auto"/>
        <w:tblLook w:val="04A0" w:firstRow="1" w:lastRow="0" w:firstColumn="1" w:lastColumn="0" w:noHBand="0" w:noVBand="1"/>
      </w:tblPr>
      <w:tblGrid>
        <w:gridCol w:w="2985"/>
        <w:gridCol w:w="2986"/>
        <w:gridCol w:w="2246"/>
      </w:tblGrid>
      <w:tr w:rsidR="000432E6" w14:paraId="6CADC5F0" w14:textId="77777777" w:rsidTr="003D51C7">
        <w:trPr>
          <w:tblHeader/>
        </w:trPr>
        <w:tc>
          <w:tcPr>
            <w:tcW w:w="2985" w:type="dxa"/>
            <w:shd w:val="clear" w:color="auto" w:fill="7A766F" w:themeFill="accent5"/>
          </w:tcPr>
          <w:p w14:paraId="53356B2C" w14:textId="01A56D21" w:rsidR="000432E6" w:rsidRPr="0007440B" w:rsidRDefault="00D5415D" w:rsidP="00AC000C">
            <w:pPr>
              <w:jc w:val="center"/>
              <w:rPr>
                <w:color w:val="FFFFFF" w:themeColor="background1"/>
              </w:rPr>
            </w:pPr>
            <w:r>
              <w:rPr>
                <w:color w:val="FFFFFF" w:themeColor="background1"/>
              </w:rPr>
              <w:t>Source</w:t>
            </w:r>
          </w:p>
        </w:tc>
        <w:tc>
          <w:tcPr>
            <w:tcW w:w="2986" w:type="dxa"/>
            <w:shd w:val="clear" w:color="auto" w:fill="7A766F" w:themeFill="accent5"/>
          </w:tcPr>
          <w:p w14:paraId="50EF7CF8" w14:textId="07DC8CB3" w:rsidR="000432E6" w:rsidRPr="0007440B" w:rsidRDefault="00D5415D" w:rsidP="000A03F5">
            <w:pPr>
              <w:jc w:val="center"/>
              <w:rPr>
                <w:color w:val="FFFFFF" w:themeColor="background1"/>
              </w:rPr>
            </w:pPr>
            <w:r>
              <w:rPr>
                <w:color w:val="FFFFFF" w:themeColor="background1"/>
              </w:rPr>
              <w:t>Mechanism</w:t>
            </w:r>
          </w:p>
        </w:tc>
        <w:tc>
          <w:tcPr>
            <w:tcW w:w="2246" w:type="dxa"/>
            <w:shd w:val="clear" w:color="auto" w:fill="7A766F" w:themeFill="accent5"/>
          </w:tcPr>
          <w:p w14:paraId="435D485C" w14:textId="62256DBB" w:rsidR="000432E6" w:rsidRPr="0007440B" w:rsidRDefault="000432E6" w:rsidP="000A03F5">
            <w:pPr>
              <w:jc w:val="center"/>
              <w:rPr>
                <w:color w:val="FFFFFF" w:themeColor="background1"/>
              </w:rPr>
            </w:pPr>
            <w:r w:rsidRPr="0007440B">
              <w:rPr>
                <w:color w:val="FFFFFF" w:themeColor="background1"/>
              </w:rPr>
              <w:t>DSI Target</w:t>
            </w:r>
          </w:p>
        </w:tc>
      </w:tr>
      <w:tr w:rsidR="000432E6" w14:paraId="3089E417" w14:textId="77777777" w:rsidTr="003D51C7">
        <w:tc>
          <w:tcPr>
            <w:tcW w:w="2985" w:type="dxa"/>
          </w:tcPr>
          <w:p w14:paraId="59CF3D51" w14:textId="21209F64" w:rsidR="000432E6" w:rsidRDefault="000432E6" w:rsidP="00AC000C">
            <w:r>
              <w:t xml:space="preserve">Loss </w:t>
            </w:r>
            <w:r w:rsidR="00E74DB5">
              <w:t>Signal Correlation</w:t>
            </w:r>
          </w:p>
        </w:tc>
        <w:tc>
          <w:tcPr>
            <w:tcW w:w="2986" w:type="dxa"/>
          </w:tcPr>
          <w:p w14:paraId="0C5CAF03" w14:textId="1267F5F3" w:rsidR="000432E6" w:rsidRDefault="00D5415D" w:rsidP="00A96D86">
            <w:r>
              <w:t>Behaviour-driven propensity</w:t>
            </w:r>
          </w:p>
        </w:tc>
        <w:tc>
          <w:tcPr>
            <w:tcW w:w="2246" w:type="dxa"/>
          </w:tcPr>
          <w:p w14:paraId="7E702D61" w14:textId="33AB6D75" w:rsidR="000432E6" w:rsidRDefault="00A96D86" w:rsidP="000A03F5">
            <w:pPr>
              <w:jc w:val="right"/>
            </w:pPr>
            <w:r>
              <w:t>4 – 8 points</w:t>
            </w:r>
          </w:p>
        </w:tc>
      </w:tr>
      <w:tr w:rsidR="000432E6" w14:paraId="6EC07645" w14:textId="77777777" w:rsidTr="003D51C7">
        <w:tc>
          <w:tcPr>
            <w:tcW w:w="2985" w:type="dxa"/>
            <w:shd w:val="clear" w:color="auto" w:fill="E8E3DA" w:themeFill="background2"/>
          </w:tcPr>
          <w:p w14:paraId="5FA3BE0F" w14:textId="4A14506C" w:rsidR="000432E6" w:rsidRDefault="000432E6" w:rsidP="00AC000C">
            <w:r w:rsidRPr="00431360">
              <w:t xml:space="preserve">Continuous </w:t>
            </w:r>
            <w:r w:rsidR="00E74DB5">
              <w:t>Calibration</w:t>
            </w:r>
          </w:p>
        </w:tc>
        <w:tc>
          <w:tcPr>
            <w:tcW w:w="2986" w:type="dxa"/>
            <w:shd w:val="clear" w:color="auto" w:fill="E8E3DA" w:themeFill="background2"/>
          </w:tcPr>
          <w:p w14:paraId="2DB50DA1" w14:textId="0466CCBB" w:rsidR="000432E6" w:rsidRDefault="00E74DB5" w:rsidP="00A96D86">
            <w:r>
              <w:t>Dynamic model tuning</w:t>
            </w:r>
          </w:p>
        </w:tc>
        <w:tc>
          <w:tcPr>
            <w:tcW w:w="2246" w:type="dxa"/>
            <w:shd w:val="clear" w:color="auto" w:fill="E8E3DA" w:themeFill="background2"/>
          </w:tcPr>
          <w:p w14:paraId="27BF3E29" w14:textId="7DE5C4E3" w:rsidR="000432E6" w:rsidRDefault="00A96D86" w:rsidP="000A03F5">
            <w:pPr>
              <w:jc w:val="right"/>
            </w:pPr>
            <w:r>
              <w:t>2 – 4 points</w:t>
            </w:r>
          </w:p>
        </w:tc>
      </w:tr>
      <w:tr w:rsidR="00A96D86" w14:paraId="71FB12F8" w14:textId="77777777" w:rsidTr="003D51C7">
        <w:tc>
          <w:tcPr>
            <w:tcW w:w="2985" w:type="dxa"/>
            <w:shd w:val="clear" w:color="auto" w:fill="0B3954" w:themeFill="accent1"/>
          </w:tcPr>
          <w:p w14:paraId="273DAD72" w14:textId="1B15D0CF" w:rsidR="00A96D86" w:rsidRPr="00A96D86" w:rsidRDefault="00A96D86" w:rsidP="00AC000C">
            <w:pPr>
              <w:rPr>
                <w:rFonts w:ascii="IBM Plex Sans Medium" w:hAnsi="IBM Plex Sans Medium"/>
              </w:rPr>
            </w:pPr>
            <w:r>
              <w:rPr>
                <w:rFonts w:ascii="IBM Plex Sans Medium" w:hAnsi="IBM Plex Sans Medium"/>
              </w:rPr>
              <w:t>Total</w:t>
            </w:r>
          </w:p>
        </w:tc>
        <w:tc>
          <w:tcPr>
            <w:tcW w:w="2986" w:type="dxa"/>
            <w:shd w:val="clear" w:color="auto" w:fill="0B3954" w:themeFill="accent1"/>
          </w:tcPr>
          <w:p w14:paraId="0433AA10" w14:textId="77777777" w:rsidR="00A96D86" w:rsidRPr="00A96D86" w:rsidRDefault="00A96D86" w:rsidP="00A96D86">
            <w:pPr>
              <w:rPr>
                <w:rFonts w:ascii="IBM Plex Sans Medium" w:hAnsi="IBM Plex Sans Medium"/>
              </w:rPr>
            </w:pPr>
          </w:p>
        </w:tc>
        <w:tc>
          <w:tcPr>
            <w:tcW w:w="2246" w:type="dxa"/>
            <w:shd w:val="clear" w:color="auto" w:fill="0B3954" w:themeFill="accent1"/>
          </w:tcPr>
          <w:p w14:paraId="4D0FCB67" w14:textId="6EFCD487" w:rsidR="00A96D86" w:rsidRPr="00A96D86" w:rsidRDefault="000737E6" w:rsidP="000A03F5">
            <w:pPr>
              <w:jc w:val="right"/>
              <w:rPr>
                <w:rFonts w:ascii="IBM Plex Sans Medium" w:hAnsi="IBM Plex Sans Medium"/>
              </w:rPr>
            </w:pPr>
            <w:r>
              <w:rPr>
                <w:rFonts w:ascii="IBM Plex Sans Medium" w:hAnsi="IBM Plex Sans Medium"/>
              </w:rPr>
              <w:t>6 – 12 points</w:t>
            </w:r>
          </w:p>
        </w:tc>
      </w:tr>
    </w:tbl>
    <w:p w14:paraId="6950464F" w14:textId="77777777" w:rsidR="008A559D" w:rsidRPr="008A559D" w:rsidRDefault="008A559D" w:rsidP="008A559D"/>
    <w:p w14:paraId="18132E3C" w14:textId="3FE25A95" w:rsidR="00F51085" w:rsidRDefault="004749E5" w:rsidP="00C96B1B">
      <w:pPr>
        <w:pStyle w:val="Heading2"/>
      </w:pPr>
      <w:r>
        <w:t xml:space="preserve">Overall </w:t>
      </w:r>
      <w:r w:rsidR="00F51085">
        <w:t>Portfolio Impact</w:t>
      </w:r>
    </w:p>
    <w:p w14:paraId="32E1670D" w14:textId="68811B21" w:rsidR="00F51085" w:rsidRDefault="00122EF5" w:rsidP="00F51085">
      <w:r w:rsidRPr="00122EF5">
        <w:t>On a $500M premium book, these improvements represent $130M–$170M in improved</w:t>
      </w:r>
      <w:r>
        <w:t xml:space="preserve"> </w:t>
      </w:r>
      <w:r w:rsidRPr="00122EF5">
        <w:t>underwriting profit.</w:t>
      </w:r>
    </w:p>
    <w:p w14:paraId="60203AD5" w14:textId="0FA1C71E" w:rsidR="002906A0" w:rsidRDefault="002906A0" w:rsidP="002906A0">
      <w:pPr>
        <w:pStyle w:val="Heading2"/>
      </w:pPr>
      <w:r>
        <w:t>Key Assumptions</w:t>
      </w:r>
    </w:p>
    <w:tbl>
      <w:tblPr>
        <w:tblStyle w:val="TableGrid"/>
        <w:tblW w:w="0" w:type="auto"/>
        <w:tblLook w:val="04A0" w:firstRow="1" w:lastRow="0" w:firstColumn="1" w:lastColumn="0" w:noHBand="0" w:noVBand="1"/>
      </w:tblPr>
      <w:tblGrid>
        <w:gridCol w:w="3005"/>
        <w:gridCol w:w="2093"/>
        <w:gridCol w:w="3119"/>
      </w:tblGrid>
      <w:tr w:rsidR="00EF0DCF" w14:paraId="46AFD0A8" w14:textId="77777777" w:rsidTr="00EF0DCF">
        <w:trPr>
          <w:tblHeader/>
        </w:trPr>
        <w:tc>
          <w:tcPr>
            <w:tcW w:w="3005" w:type="dxa"/>
            <w:shd w:val="clear" w:color="auto" w:fill="7A766F" w:themeFill="accent5"/>
          </w:tcPr>
          <w:p w14:paraId="4B4272AD" w14:textId="0B32927C" w:rsidR="004D0AA9" w:rsidRPr="0007440B" w:rsidRDefault="004D0AA9" w:rsidP="000A03F5">
            <w:pPr>
              <w:jc w:val="center"/>
              <w:rPr>
                <w:color w:val="FFFFFF" w:themeColor="background1"/>
              </w:rPr>
            </w:pPr>
            <w:r>
              <w:rPr>
                <w:color w:val="FFFFFF" w:themeColor="background1"/>
              </w:rPr>
              <w:t>Assumption</w:t>
            </w:r>
          </w:p>
        </w:tc>
        <w:tc>
          <w:tcPr>
            <w:tcW w:w="2093" w:type="dxa"/>
            <w:shd w:val="clear" w:color="auto" w:fill="7A766F" w:themeFill="accent5"/>
          </w:tcPr>
          <w:p w14:paraId="4F363256" w14:textId="60DD13BD" w:rsidR="004D0AA9" w:rsidRPr="0007440B" w:rsidRDefault="004D0AA9" w:rsidP="000A03F5">
            <w:pPr>
              <w:jc w:val="center"/>
              <w:rPr>
                <w:color w:val="FFFFFF" w:themeColor="background1"/>
              </w:rPr>
            </w:pPr>
            <w:r>
              <w:rPr>
                <w:color w:val="FFFFFF" w:themeColor="background1"/>
              </w:rPr>
              <w:t>Value</w:t>
            </w:r>
          </w:p>
        </w:tc>
        <w:tc>
          <w:tcPr>
            <w:tcW w:w="3119" w:type="dxa"/>
            <w:shd w:val="clear" w:color="auto" w:fill="7A766F" w:themeFill="accent5"/>
          </w:tcPr>
          <w:p w14:paraId="6D35DEC3" w14:textId="02296E8F" w:rsidR="004D0AA9" w:rsidRPr="0007440B" w:rsidRDefault="004D0AA9" w:rsidP="000A03F5">
            <w:pPr>
              <w:jc w:val="center"/>
              <w:rPr>
                <w:color w:val="FFFFFF" w:themeColor="background1"/>
              </w:rPr>
            </w:pPr>
            <w:r>
              <w:rPr>
                <w:color w:val="FFFFFF" w:themeColor="background1"/>
              </w:rPr>
              <w:t>Sensitivity</w:t>
            </w:r>
          </w:p>
        </w:tc>
      </w:tr>
      <w:tr w:rsidR="00EF0DCF" w14:paraId="12319D09" w14:textId="77777777" w:rsidTr="00EF0DCF">
        <w:tc>
          <w:tcPr>
            <w:tcW w:w="3005" w:type="dxa"/>
          </w:tcPr>
          <w:p w14:paraId="61E49392" w14:textId="199F864A" w:rsidR="00EF0DCF" w:rsidRDefault="00EF0DCF" w:rsidP="00EF0DCF">
            <w:r w:rsidRPr="00460241">
              <w:t>Signal availability rate</w:t>
            </w:r>
          </w:p>
        </w:tc>
        <w:tc>
          <w:tcPr>
            <w:tcW w:w="2093" w:type="dxa"/>
          </w:tcPr>
          <w:p w14:paraId="18FE4060" w14:textId="5B4D8E8D" w:rsidR="00EF0DCF" w:rsidRDefault="00EF0DCF" w:rsidP="00EF0DCF">
            <w:pPr>
              <w:jc w:val="right"/>
            </w:pPr>
            <w:r w:rsidRPr="00460241">
              <w:t>≥ 80%</w:t>
            </w:r>
          </w:p>
        </w:tc>
        <w:tc>
          <w:tcPr>
            <w:tcW w:w="3119" w:type="dxa"/>
          </w:tcPr>
          <w:p w14:paraId="6CF871C6" w14:textId="64A62D05" w:rsidR="00EF0DCF" w:rsidRDefault="00EF0DCF" w:rsidP="00EF0DCF">
            <w:pPr>
              <w:jc w:val="right"/>
            </w:pPr>
            <w:r w:rsidRPr="00460241">
              <w:t>±3 points per 10% variance</w:t>
            </w:r>
          </w:p>
        </w:tc>
      </w:tr>
      <w:tr w:rsidR="00EF0DCF" w14:paraId="2C0DA615" w14:textId="77777777" w:rsidTr="00EF0DCF">
        <w:tc>
          <w:tcPr>
            <w:tcW w:w="3005" w:type="dxa"/>
            <w:shd w:val="clear" w:color="auto" w:fill="E8E3DA" w:themeFill="background2"/>
          </w:tcPr>
          <w:p w14:paraId="14622F86" w14:textId="3CF1E388" w:rsidR="00EF0DCF" w:rsidRDefault="00EF0DCF" w:rsidP="00EF0DCF">
            <w:r w:rsidRPr="00460241">
              <w:t>Straight-through processing</w:t>
            </w:r>
          </w:p>
        </w:tc>
        <w:tc>
          <w:tcPr>
            <w:tcW w:w="2093" w:type="dxa"/>
            <w:shd w:val="clear" w:color="auto" w:fill="E8E3DA" w:themeFill="background2"/>
          </w:tcPr>
          <w:p w14:paraId="15C5E593" w14:textId="2EA6C0FE" w:rsidR="00EF0DCF" w:rsidRDefault="00EF0DCF" w:rsidP="00EF0DCF">
            <w:pPr>
              <w:jc w:val="right"/>
            </w:pPr>
            <w:r w:rsidRPr="00460241">
              <w:t>≥ 60%</w:t>
            </w:r>
          </w:p>
        </w:tc>
        <w:tc>
          <w:tcPr>
            <w:tcW w:w="3119" w:type="dxa"/>
            <w:shd w:val="clear" w:color="auto" w:fill="E8E3DA" w:themeFill="background2"/>
          </w:tcPr>
          <w:p w14:paraId="6404ED3A" w14:textId="07BF6ECC" w:rsidR="00EF0DCF" w:rsidRDefault="00EF0DCF" w:rsidP="00EF0DCF">
            <w:pPr>
              <w:jc w:val="right"/>
            </w:pPr>
            <w:r w:rsidRPr="00460241">
              <w:t>±2 points per 10% variance</w:t>
            </w:r>
          </w:p>
        </w:tc>
      </w:tr>
      <w:tr w:rsidR="00EF0DCF" w14:paraId="1E4244A0" w14:textId="77777777" w:rsidTr="00EF0DCF">
        <w:tc>
          <w:tcPr>
            <w:tcW w:w="3005" w:type="dxa"/>
          </w:tcPr>
          <w:p w14:paraId="22A94F91" w14:textId="6265F21C" w:rsidR="00EF0DCF" w:rsidRDefault="00EF0DCF" w:rsidP="00EF0DCF">
            <w:r w:rsidRPr="00460241">
              <w:t>Model calibration period</w:t>
            </w:r>
          </w:p>
        </w:tc>
        <w:tc>
          <w:tcPr>
            <w:tcW w:w="2093" w:type="dxa"/>
          </w:tcPr>
          <w:p w14:paraId="545E42A5" w14:textId="0E6D83BA" w:rsidR="00EF0DCF" w:rsidRDefault="00EF0DCF" w:rsidP="00EF0DCF">
            <w:pPr>
              <w:jc w:val="right"/>
            </w:pPr>
            <w:r w:rsidRPr="00460241">
              <w:t>12 months</w:t>
            </w:r>
          </w:p>
        </w:tc>
        <w:tc>
          <w:tcPr>
            <w:tcW w:w="3119" w:type="dxa"/>
          </w:tcPr>
          <w:p w14:paraId="3F2F8D08" w14:textId="6A875210" w:rsidR="00EF0DCF" w:rsidRDefault="00EF0DCF" w:rsidP="00EF0DCF">
            <w:pPr>
              <w:jc w:val="right"/>
            </w:pPr>
            <w:r w:rsidRPr="00460241">
              <w:t>N/A</w:t>
            </w:r>
          </w:p>
        </w:tc>
      </w:tr>
      <w:tr w:rsidR="00EF0DCF" w14:paraId="1A7839D7" w14:textId="77777777" w:rsidTr="00EF0DCF">
        <w:tc>
          <w:tcPr>
            <w:tcW w:w="3005" w:type="dxa"/>
            <w:shd w:val="clear" w:color="auto" w:fill="E8E3DA" w:themeFill="background2"/>
          </w:tcPr>
          <w:p w14:paraId="6F4F63FF" w14:textId="6F0C43BB" w:rsidR="00EF0DCF" w:rsidRDefault="00EF0DCF" w:rsidP="00EF0DCF">
            <w:r w:rsidRPr="00460241">
              <w:t>Loss correlation validation</w:t>
            </w:r>
          </w:p>
        </w:tc>
        <w:tc>
          <w:tcPr>
            <w:tcW w:w="2093" w:type="dxa"/>
            <w:shd w:val="clear" w:color="auto" w:fill="E8E3DA" w:themeFill="background2"/>
          </w:tcPr>
          <w:p w14:paraId="53BC1E7A" w14:textId="4956EC16" w:rsidR="00EF0DCF" w:rsidRDefault="00EF0DCF" w:rsidP="00EF0DCF">
            <w:pPr>
              <w:jc w:val="right"/>
            </w:pPr>
            <w:r w:rsidRPr="00460241">
              <w:t>24–36 months</w:t>
            </w:r>
          </w:p>
        </w:tc>
        <w:tc>
          <w:tcPr>
            <w:tcW w:w="3119" w:type="dxa"/>
            <w:shd w:val="clear" w:color="auto" w:fill="E8E3DA" w:themeFill="background2"/>
          </w:tcPr>
          <w:p w14:paraId="72EA1D70" w14:textId="28EFB1FA" w:rsidR="00EF0DCF" w:rsidRDefault="00EF0DCF" w:rsidP="00EF0DCF">
            <w:pPr>
              <w:jc w:val="right"/>
            </w:pPr>
            <w:r w:rsidRPr="00460241">
              <w:t>Deferred benefit</w:t>
            </w:r>
          </w:p>
        </w:tc>
      </w:tr>
    </w:tbl>
    <w:p w14:paraId="31C53856" w14:textId="39F6FB25" w:rsidR="002906A0" w:rsidRPr="002906A0" w:rsidRDefault="00EF0DCF" w:rsidP="002906A0">
      <w:r>
        <w:br/>
      </w:r>
      <w:r w:rsidR="00B2411B" w:rsidRPr="00B2411B">
        <w:t>All projections are subject to portfolio composition and market conditions.</w:t>
      </w:r>
    </w:p>
    <w:p w14:paraId="52741329" w14:textId="62E4740E" w:rsidR="00F51085" w:rsidRDefault="00F51085" w:rsidP="00C96B1B">
      <w:pPr>
        <w:pStyle w:val="Heading1"/>
      </w:pPr>
      <w:r>
        <w:lastRenderedPageBreak/>
        <w:t>Conclusion</w:t>
      </w:r>
    </w:p>
    <w:p w14:paraId="4D570081" w14:textId="77777777" w:rsidR="00D56EDE" w:rsidRDefault="007D1D92" w:rsidP="007D1D92">
      <w:r>
        <w:t>Digital Signal Intelligence replaces the traditional, self‑reported information substrate of insurance with externally observable, machine‑readable signals. This enables</w:t>
      </w:r>
      <w:r w:rsidR="00D56EDE">
        <w:t>:</w:t>
      </w:r>
    </w:p>
    <w:p w14:paraId="349E8351" w14:textId="4F5CDF75" w:rsidR="00843C5A" w:rsidRDefault="00843C5A" w:rsidP="00843C5A">
      <w:pPr>
        <w:pStyle w:val="ListParagraph"/>
        <w:numPr>
          <w:ilvl w:val="0"/>
          <w:numId w:val="60"/>
        </w:numPr>
      </w:pPr>
      <w:r>
        <w:t>Deterministic scoring without subjective interpretation</w:t>
      </w:r>
    </w:p>
    <w:p w14:paraId="402080C9" w14:textId="2CC54C2F" w:rsidR="00843C5A" w:rsidRDefault="00843C5A" w:rsidP="00843C5A">
      <w:pPr>
        <w:pStyle w:val="ListParagraph"/>
        <w:numPr>
          <w:ilvl w:val="0"/>
          <w:numId w:val="60"/>
        </w:numPr>
      </w:pPr>
      <w:r>
        <w:t>A</w:t>
      </w:r>
      <w:r>
        <w:t>utonomous underwriting at scale</w:t>
      </w:r>
    </w:p>
    <w:p w14:paraId="39F96800" w14:textId="64CE5626" w:rsidR="00843C5A" w:rsidRDefault="00843C5A" w:rsidP="00843C5A">
      <w:pPr>
        <w:pStyle w:val="ListParagraph"/>
        <w:numPr>
          <w:ilvl w:val="0"/>
          <w:numId w:val="60"/>
        </w:numPr>
      </w:pPr>
      <w:r>
        <w:t>Exposure estimation without self-reported schedules</w:t>
      </w:r>
    </w:p>
    <w:p w14:paraId="30179EB1" w14:textId="5B47DF78" w:rsidR="00843C5A" w:rsidRDefault="00843C5A" w:rsidP="00843C5A">
      <w:pPr>
        <w:pStyle w:val="ListParagraph"/>
        <w:numPr>
          <w:ilvl w:val="0"/>
          <w:numId w:val="60"/>
        </w:numPr>
      </w:pPr>
      <w:r>
        <w:t>Loss pattern inference from behavioural signals</w:t>
      </w:r>
    </w:p>
    <w:p w14:paraId="152FCC36" w14:textId="25F720E0" w:rsidR="00843C5A" w:rsidRDefault="00843C5A" w:rsidP="00843C5A">
      <w:pPr>
        <w:pStyle w:val="ListParagraph"/>
        <w:numPr>
          <w:ilvl w:val="0"/>
          <w:numId w:val="60"/>
        </w:numPr>
      </w:pPr>
      <w:r>
        <w:t>Continuous monitoring and early deterioration detection</w:t>
      </w:r>
    </w:p>
    <w:p w14:paraId="5AA651CB" w14:textId="77777777" w:rsidR="00843C5A" w:rsidRDefault="00843C5A" w:rsidP="00843C5A">
      <w:pPr>
        <w:pStyle w:val="ListParagraph"/>
        <w:numPr>
          <w:ilvl w:val="0"/>
          <w:numId w:val="60"/>
        </w:numPr>
      </w:pPr>
      <w:r>
        <w:t>Global scalability without linear headcount growth</w:t>
      </w:r>
    </w:p>
    <w:p w14:paraId="6A19BB24" w14:textId="0F16040E" w:rsidR="007D1D92" w:rsidRDefault="007D1D92" w:rsidP="00843C5A">
      <w:r>
        <w:t>Insurers are publicly committing to reducing operational complexity and headcount</w:t>
      </w:r>
      <w:r>
        <w:t>.</w:t>
      </w:r>
      <w:r w:rsidR="001B4E35">
        <w:t xml:space="preserve"> </w:t>
      </w:r>
      <w:r w:rsidR="00D917D4" w:rsidRPr="00D917D4">
        <w:t>However, no traditional underwriting model can achieve this at scale. The bottleneck is the information substrate itself.</w:t>
      </w:r>
    </w:p>
    <w:p w14:paraId="645407F6" w14:textId="2E6FC485" w:rsidR="000C3D4B" w:rsidRDefault="00D917D4" w:rsidP="007C1138">
      <w:pPr>
        <w:pStyle w:val="Callout"/>
      </w:pPr>
      <w:r w:rsidRPr="00D917D4">
        <w:t>DSI is a structural replacement for the information substrate of underwriting, providing a viable path to radical operational efficiency and increased profitability.</w:t>
      </w:r>
    </w:p>
    <w:tbl>
      <w:tblPr>
        <w:tblStyle w:val="TableGrid"/>
        <w:tblW w:w="0" w:type="auto"/>
        <w:tblLook w:val="04A0" w:firstRow="1" w:lastRow="0" w:firstColumn="1" w:lastColumn="0" w:noHBand="0" w:noVBand="1"/>
      </w:tblPr>
      <w:tblGrid>
        <w:gridCol w:w="3470"/>
        <w:gridCol w:w="1038"/>
        <w:gridCol w:w="2433"/>
      </w:tblGrid>
      <w:tr w:rsidR="00D917D4" w14:paraId="5C018086" w14:textId="77777777" w:rsidTr="000A03F5">
        <w:tc>
          <w:tcPr>
            <w:tcW w:w="4508" w:type="dxa"/>
            <w:gridSpan w:val="2"/>
            <w:shd w:val="clear" w:color="auto" w:fill="7A766F" w:themeFill="accent5"/>
          </w:tcPr>
          <w:p w14:paraId="148CBBC8" w14:textId="77777777" w:rsidR="00D917D4" w:rsidRPr="00F028F7" w:rsidRDefault="00D917D4" w:rsidP="000A03F5">
            <w:pPr>
              <w:rPr>
                <w:color w:val="FFFFFF" w:themeColor="background1"/>
              </w:rPr>
            </w:pPr>
            <w:r w:rsidRPr="00F028F7">
              <w:rPr>
                <w:color w:val="FFFFFF" w:themeColor="background1"/>
              </w:rPr>
              <w:t>Traditional Model</w:t>
            </w:r>
          </w:p>
        </w:tc>
        <w:tc>
          <w:tcPr>
            <w:tcW w:w="2433" w:type="dxa"/>
            <w:shd w:val="clear" w:color="auto" w:fill="7A766F" w:themeFill="accent5"/>
          </w:tcPr>
          <w:p w14:paraId="760C96C8" w14:textId="77777777" w:rsidR="00D917D4" w:rsidRPr="00F028F7" w:rsidRDefault="00D917D4" w:rsidP="000A03F5">
            <w:pPr>
              <w:rPr>
                <w:color w:val="FFFFFF" w:themeColor="background1"/>
              </w:rPr>
            </w:pPr>
            <w:r w:rsidRPr="00F028F7">
              <w:rPr>
                <w:color w:val="FFFFFF" w:themeColor="background1"/>
              </w:rPr>
              <w:t>DSI Model</w:t>
            </w:r>
          </w:p>
        </w:tc>
      </w:tr>
      <w:tr w:rsidR="00B54FDA" w14:paraId="37D8D80E" w14:textId="77777777" w:rsidTr="000A03F5">
        <w:tc>
          <w:tcPr>
            <w:tcW w:w="3470" w:type="dxa"/>
          </w:tcPr>
          <w:p w14:paraId="40AC76E9" w14:textId="73AAA019" w:rsidR="00B54FDA" w:rsidRDefault="00B54FDA" w:rsidP="00B54FDA">
            <w:r w:rsidRPr="00C53CE9">
              <w:t>Self-reported inputs</w:t>
            </w:r>
          </w:p>
        </w:tc>
        <w:tc>
          <w:tcPr>
            <w:tcW w:w="3471" w:type="dxa"/>
            <w:gridSpan w:val="2"/>
          </w:tcPr>
          <w:p w14:paraId="335AA781" w14:textId="16DAF70B" w:rsidR="00B54FDA" w:rsidRDefault="00B54FDA" w:rsidP="00B54FDA">
            <w:r w:rsidRPr="00C53CE9">
              <w:t>Externally observable signals</w:t>
            </w:r>
          </w:p>
        </w:tc>
      </w:tr>
      <w:tr w:rsidR="00B54FDA" w14:paraId="6E4B37A7" w14:textId="77777777" w:rsidTr="000A03F5">
        <w:tc>
          <w:tcPr>
            <w:tcW w:w="3470" w:type="dxa"/>
            <w:shd w:val="clear" w:color="auto" w:fill="E8E3DA" w:themeFill="background2"/>
          </w:tcPr>
          <w:p w14:paraId="14E562E9" w14:textId="75DD6017" w:rsidR="00B54FDA" w:rsidRDefault="00B54FDA" w:rsidP="00B54FDA">
            <w:r w:rsidRPr="00C53CE9">
              <w:t>Unstructured artefacts</w:t>
            </w:r>
          </w:p>
        </w:tc>
        <w:tc>
          <w:tcPr>
            <w:tcW w:w="3471" w:type="dxa"/>
            <w:gridSpan w:val="2"/>
            <w:shd w:val="clear" w:color="auto" w:fill="E8E3DA" w:themeFill="background2"/>
          </w:tcPr>
          <w:p w14:paraId="3F10459C" w14:textId="787C2EF0" w:rsidR="00B54FDA" w:rsidRDefault="00B54FDA" w:rsidP="00B54FDA">
            <w:r w:rsidRPr="00C53CE9">
              <w:t>Machine-readable data</w:t>
            </w:r>
          </w:p>
        </w:tc>
      </w:tr>
      <w:tr w:rsidR="00B54FDA" w14:paraId="47A0E74C" w14:textId="77777777" w:rsidTr="000A03F5">
        <w:tc>
          <w:tcPr>
            <w:tcW w:w="3470" w:type="dxa"/>
          </w:tcPr>
          <w:p w14:paraId="56A2F488" w14:textId="5AA3C009" w:rsidR="00B54FDA" w:rsidRDefault="00B54FDA" w:rsidP="00B54FDA">
            <w:r w:rsidRPr="00C53CE9">
              <w:t>Manual interpretation</w:t>
            </w:r>
          </w:p>
        </w:tc>
        <w:tc>
          <w:tcPr>
            <w:tcW w:w="3471" w:type="dxa"/>
            <w:gridSpan w:val="2"/>
          </w:tcPr>
          <w:p w14:paraId="448BF0C7" w14:textId="5CA9CD7C" w:rsidR="00B54FDA" w:rsidRDefault="00B54FDA" w:rsidP="00B54FDA">
            <w:r w:rsidRPr="00C53CE9">
              <w:t>Deterministic scoring</w:t>
            </w:r>
          </w:p>
        </w:tc>
      </w:tr>
      <w:tr w:rsidR="00B54FDA" w14:paraId="5BBCC67A" w14:textId="77777777" w:rsidTr="000A03F5">
        <w:tc>
          <w:tcPr>
            <w:tcW w:w="3470" w:type="dxa"/>
            <w:shd w:val="clear" w:color="auto" w:fill="E8E3DA" w:themeFill="background2"/>
          </w:tcPr>
          <w:p w14:paraId="02D622C2" w14:textId="3410F92D" w:rsidR="00B54FDA" w:rsidRDefault="00B54FDA" w:rsidP="00B54FDA">
            <w:r w:rsidRPr="00C53CE9">
              <w:t>Slow, multi-step workflows</w:t>
            </w:r>
          </w:p>
        </w:tc>
        <w:tc>
          <w:tcPr>
            <w:tcW w:w="3471" w:type="dxa"/>
            <w:gridSpan w:val="2"/>
            <w:shd w:val="clear" w:color="auto" w:fill="E8E3DA" w:themeFill="background2"/>
          </w:tcPr>
          <w:p w14:paraId="6C001F47" w14:textId="08BFC990" w:rsidR="00B54FDA" w:rsidRDefault="00B54FDA" w:rsidP="00B54FDA">
            <w:r w:rsidRPr="00C53CE9">
              <w:t>Instant assessment</w:t>
            </w:r>
          </w:p>
        </w:tc>
      </w:tr>
      <w:tr w:rsidR="00B54FDA" w14:paraId="3492FB2A" w14:textId="77777777" w:rsidTr="000A03F5">
        <w:tc>
          <w:tcPr>
            <w:tcW w:w="3470" w:type="dxa"/>
          </w:tcPr>
          <w:p w14:paraId="74172570" w14:textId="7B0E6872" w:rsidR="00B54FDA" w:rsidRDefault="00B54FDA" w:rsidP="00B54FDA">
            <w:r w:rsidRPr="00C53CE9">
              <w:t>High cost per submission</w:t>
            </w:r>
          </w:p>
        </w:tc>
        <w:tc>
          <w:tcPr>
            <w:tcW w:w="3471" w:type="dxa"/>
            <w:gridSpan w:val="2"/>
          </w:tcPr>
          <w:p w14:paraId="370421D7" w14:textId="46503C3F" w:rsidR="00B54FDA" w:rsidRDefault="00B54FDA" w:rsidP="00B54FDA">
            <w:r w:rsidRPr="00C53CE9">
              <w:t>Low cost per submission</w:t>
            </w:r>
          </w:p>
        </w:tc>
      </w:tr>
      <w:tr w:rsidR="00B54FDA" w14:paraId="037CE0CD" w14:textId="77777777" w:rsidTr="000A03F5">
        <w:trPr>
          <w:trHeight w:val="131"/>
        </w:trPr>
        <w:tc>
          <w:tcPr>
            <w:tcW w:w="3470" w:type="dxa"/>
            <w:shd w:val="clear" w:color="auto" w:fill="E8E3DA" w:themeFill="background2"/>
          </w:tcPr>
          <w:p w14:paraId="05BA4DBB" w14:textId="78321C19" w:rsidR="00B54FDA" w:rsidRDefault="00B54FDA" w:rsidP="00B54FDA">
            <w:r w:rsidRPr="00C53CE9">
              <w:t>Limited scalability</w:t>
            </w:r>
          </w:p>
        </w:tc>
        <w:tc>
          <w:tcPr>
            <w:tcW w:w="3471" w:type="dxa"/>
            <w:gridSpan w:val="2"/>
            <w:shd w:val="clear" w:color="auto" w:fill="E8E3DA" w:themeFill="background2"/>
          </w:tcPr>
          <w:p w14:paraId="5744BFBF" w14:textId="2F0F5B52" w:rsidR="00B54FDA" w:rsidRDefault="00B54FDA" w:rsidP="00B54FDA">
            <w:r w:rsidRPr="00C53CE9">
              <w:t>Global scalability</w:t>
            </w:r>
          </w:p>
        </w:tc>
      </w:tr>
      <w:tr w:rsidR="00B54FDA" w14:paraId="328E956A" w14:textId="77777777" w:rsidTr="00B54FDA">
        <w:trPr>
          <w:trHeight w:val="131"/>
        </w:trPr>
        <w:tc>
          <w:tcPr>
            <w:tcW w:w="3470" w:type="dxa"/>
          </w:tcPr>
          <w:p w14:paraId="7FDFFE9E" w14:textId="141361A2" w:rsidR="00B54FDA" w:rsidRPr="00521F64" w:rsidRDefault="00B57BE6" w:rsidP="00B54FDA">
            <w:r w:rsidRPr="00B57BE6">
              <w:t>Feature‑poor loss models</w:t>
            </w:r>
          </w:p>
        </w:tc>
        <w:tc>
          <w:tcPr>
            <w:tcW w:w="3471" w:type="dxa"/>
            <w:gridSpan w:val="2"/>
          </w:tcPr>
          <w:p w14:paraId="4F380116" w14:textId="4547B31F" w:rsidR="00B54FDA" w:rsidRPr="00521F64" w:rsidRDefault="00B54FDA" w:rsidP="00B54FDA">
            <w:r w:rsidRPr="00C53CE9">
              <w:t xml:space="preserve">Feature-rich loss </w:t>
            </w:r>
            <w:r w:rsidR="0061527C">
              <w:t xml:space="preserve">model </w:t>
            </w:r>
            <w:r w:rsidRPr="00C53CE9">
              <w:t>correlation</w:t>
            </w:r>
          </w:p>
        </w:tc>
      </w:tr>
      <w:tr w:rsidR="00B54FDA" w14:paraId="783650FE" w14:textId="77777777" w:rsidTr="00B54FDA">
        <w:trPr>
          <w:trHeight w:val="75"/>
        </w:trPr>
        <w:tc>
          <w:tcPr>
            <w:tcW w:w="3470" w:type="dxa"/>
            <w:shd w:val="clear" w:color="auto" w:fill="E8E3DA" w:themeFill="background2"/>
          </w:tcPr>
          <w:p w14:paraId="2CA8E40C" w14:textId="2ABDC78C" w:rsidR="00B54FDA" w:rsidRPr="00521F64" w:rsidRDefault="00B54FDA" w:rsidP="00B54FDA">
            <w:r w:rsidRPr="00C53CE9">
              <w:t>Reactive assessment</w:t>
            </w:r>
          </w:p>
        </w:tc>
        <w:tc>
          <w:tcPr>
            <w:tcW w:w="3471" w:type="dxa"/>
            <w:gridSpan w:val="2"/>
            <w:shd w:val="clear" w:color="auto" w:fill="E8E3DA" w:themeFill="background2"/>
          </w:tcPr>
          <w:p w14:paraId="6641751A" w14:textId="4D9D2086" w:rsidR="00B54FDA" w:rsidRPr="00521F64" w:rsidRDefault="00B54FDA" w:rsidP="00B54FDA">
            <w:r w:rsidRPr="00C53CE9">
              <w:t>Continuous monitoring</w:t>
            </w:r>
          </w:p>
        </w:tc>
      </w:tr>
    </w:tbl>
    <w:p w14:paraId="60175A1D" w14:textId="2ECA608C" w:rsidR="00804369" w:rsidRDefault="00B54FDA" w:rsidP="000C3D4B">
      <w:r>
        <w:br/>
      </w:r>
      <w:r w:rsidR="000C3D4B">
        <w:t>As digital signals expand and calibration datasets grow, DSI becomes not only a new methodology for underwriting, but the foundation upon which the next generation of insurance carriers will be built.</w:t>
      </w:r>
    </w:p>
    <w:p w14:paraId="24E69C0D" w14:textId="77777777" w:rsidR="00804369" w:rsidRDefault="00804369">
      <w:r>
        <w:br w:type="page"/>
      </w:r>
    </w:p>
    <w:p w14:paraId="5DB61ED9" w14:textId="7B711D82" w:rsidR="002972AA" w:rsidRDefault="00804369" w:rsidP="00804369">
      <w:pPr>
        <w:pStyle w:val="Heading1"/>
      </w:pPr>
      <w:r>
        <w:lastRenderedPageBreak/>
        <w:t>Appendix</w:t>
      </w:r>
    </w:p>
    <w:p w14:paraId="062C131A" w14:textId="46C6B135" w:rsidR="00A251D6" w:rsidRDefault="00A251D6" w:rsidP="00A251D6">
      <w:pPr>
        <w:pStyle w:val="Heading2"/>
      </w:pPr>
      <w:r>
        <w:t>Scope and Limitations</w:t>
      </w:r>
    </w:p>
    <w:p w14:paraId="63E5811E" w14:textId="77777777" w:rsidR="00A251D6" w:rsidRDefault="00A251D6" w:rsidP="00A251D6">
      <w:r>
        <w:t>DSI is designed for broad applicability but has defined boundaries:</w:t>
      </w:r>
    </w:p>
    <w:p w14:paraId="76975056" w14:textId="4DA9D872" w:rsidR="00A251D6" w:rsidRDefault="00A251D6" w:rsidP="00A251D6">
      <w:pPr>
        <w:pStyle w:val="Heading3"/>
      </w:pPr>
      <w:r>
        <w:t>Digital Footprint Dependency</w:t>
      </w:r>
    </w:p>
    <w:p w14:paraId="25F1D76C" w14:textId="77777777" w:rsidR="00A251D6" w:rsidRDefault="00A251D6" w:rsidP="00A251D6">
      <w:r>
        <w:t>DSI requires entities to have a measurable digital presence. Risks with minimal digital footprint—small local businesses, individual artisans, entities operating primarily offline—may not generate sufficient signal density for automated assessment.</w:t>
      </w:r>
    </w:p>
    <w:p w14:paraId="49E21E87" w14:textId="77777777" w:rsidR="00A251D6" w:rsidRDefault="00A251D6" w:rsidP="00A251D6">
      <w:r>
        <w:t>Mitigation: Direct inquiry signals can supplement observable signals, but coverage is limited. These risks are better suited to traditional underwriting approaches.</w:t>
      </w:r>
    </w:p>
    <w:p w14:paraId="02BA0826" w14:textId="6D0A8F91" w:rsidR="00A251D6" w:rsidRDefault="00A251D6" w:rsidP="00A251D6">
      <w:pPr>
        <w:pStyle w:val="Heading3"/>
      </w:pPr>
      <w:r>
        <w:t>First-Generation Calibration</w:t>
      </w:r>
    </w:p>
    <w:p w14:paraId="35D74AE2" w14:textId="77777777" w:rsidR="00A251D6" w:rsidRDefault="00A251D6" w:rsidP="00A251D6">
      <w:r>
        <w:t>Initial model weights are based on actuarial judgment and industry analysis. Full loss-correlation calibration requires 24–36 months of loss emergence data.</w:t>
      </w:r>
    </w:p>
    <w:p w14:paraId="1F6098F9" w14:textId="77777777" w:rsidR="00A251D6" w:rsidRDefault="00A251D6" w:rsidP="00A251D6">
      <w:r>
        <w:t>Mitigation: The continuous tuning architecture enables rapid recalibration as loss data accumulates. Early adopters should expect iterative refinement.</w:t>
      </w:r>
    </w:p>
    <w:p w14:paraId="57D93CE8" w14:textId="073F51D2" w:rsidR="00A251D6" w:rsidRDefault="00A251D6" w:rsidP="00A251D6">
      <w:pPr>
        <w:pStyle w:val="Heading3"/>
      </w:pPr>
      <w:r>
        <w:t>Catastrophe and Systemic Risk</w:t>
      </w:r>
    </w:p>
    <w:p w14:paraId="44026FD1" w14:textId="77777777" w:rsidR="00A251D6" w:rsidRDefault="00A251D6" w:rsidP="00A251D6">
      <w:r>
        <w:t>DSI assesses individual entity quality, not correlated exposure. Natural catastrophe, pandemic, and systemic financial risk require separate accumulation management.</w:t>
      </w:r>
    </w:p>
    <w:p w14:paraId="2C886F1B" w14:textId="77777777" w:rsidR="00A251D6" w:rsidRDefault="00A251D6" w:rsidP="00A251D6">
      <w:r>
        <w:t>Mitigation: The Exposure Shadow Layer provides accumulation proxies, but catastrophe modelling remains a distinct discipline.</w:t>
      </w:r>
    </w:p>
    <w:p w14:paraId="091B31E8" w14:textId="1934D7D1" w:rsidR="00A251D6" w:rsidRDefault="00A251D6" w:rsidP="00A251D6">
      <w:pPr>
        <w:pStyle w:val="Heading3"/>
      </w:pPr>
      <w:r>
        <w:t>Bespoke and Unique Risks</w:t>
      </w:r>
    </w:p>
    <w:p w14:paraId="7356559D" w14:textId="77777777" w:rsidR="00A251D6" w:rsidRDefault="00A251D6" w:rsidP="00A251D6">
      <w:r>
        <w:t>Highly customised programmes—one-off construction projects, unique assets, novel business models—may lack comparable signal patterns. DSI performs best on risks with identifiable peer cohorts.</w:t>
      </w:r>
    </w:p>
    <w:p w14:paraId="521F5B0D" w14:textId="77777777" w:rsidR="00A251D6" w:rsidRDefault="00A251D6" w:rsidP="00A251D6">
      <w:r>
        <w:t>Mitigation: Referral thresholds ensure novel risks receive human review.</w:t>
      </w:r>
    </w:p>
    <w:p w14:paraId="17F4D4AC" w14:textId="432F7FD8" w:rsidR="00A251D6" w:rsidRDefault="00A251D6" w:rsidP="00A251D6">
      <w:pPr>
        <w:pStyle w:val="Heading3"/>
      </w:pPr>
      <w:r>
        <w:t>Regulatory and Jurisdictional Variance</w:t>
      </w:r>
    </w:p>
    <w:p w14:paraId="268F80E2" w14:textId="77777777" w:rsidR="00A251D6" w:rsidRDefault="00A251D6" w:rsidP="00A251D6">
      <w:r>
        <w:t>Signal availability varies by jurisdiction. Some markets have richer structured data feeds than others. Regulatory environments affect which signals are publicly accessible.</w:t>
      </w:r>
    </w:p>
    <w:p w14:paraId="43B79057" w14:textId="6A5032FE" w:rsidR="00804369" w:rsidRPr="00804369" w:rsidRDefault="00A251D6" w:rsidP="00A251D6">
      <w:r>
        <w:t>Mitigation: Configuration-driven architecture allows market-specific tuning. Coverage crosswalks enable consistent concepts across jurisdictions with different signal sources.</w:t>
      </w:r>
    </w:p>
    <w:sectPr w:rsidR="00804369" w:rsidRPr="00804369" w:rsidSect="00026AC3">
      <w:headerReference w:type="default" r:id="rId10"/>
      <w:pgSz w:w="11906" w:h="16838"/>
      <w:pgMar w:top="1440" w:right="1440" w:bottom="1440" w:left="1440" w:header="454" w:footer="45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08035" w14:textId="77777777" w:rsidR="00C95989" w:rsidRDefault="00C95989" w:rsidP="00026AC3">
      <w:pPr>
        <w:spacing w:after="0" w:line="240" w:lineRule="auto"/>
      </w:pPr>
      <w:r>
        <w:separator/>
      </w:r>
    </w:p>
  </w:endnote>
  <w:endnote w:type="continuationSeparator" w:id="0">
    <w:p w14:paraId="34E2ABA6" w14:textId="77777777" w:rsidR="00C95989" w:rsidRDefault="00C95989" w:rsidP="00026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IBM Plex Sans">
    <w:panose1 w:val="020B0503050203000203"/>
    <w:charset w:val="00"/>
    <w:family w:val="swiss"/>
    <w:pitch w:val="variable"/>
    <w:sig w:usb0="A00002EF" w:usb1="5000203B" w:usb2="00000000" w:usb3="00000000" w:csb0="0000019F" w:csb1="00000000"/>
  </w:font>
  <w:font w:name="Inter">
    <w:panose1 w:val="02000503000000020004"/>
    <w:charset w:val="00"/>
    <w:family w:val="auto"/>
    <w:pitch w:val="variable"/>
    <w:sig w:usb0="E00002FF" w:usb1="1200A1FF" w:usb2="00000000" w:usb3="00000000" w:csb0="0000019F" w:csb1="00000000"/>
  </w:font>
  <w:font w:name="Inter ExtraBold">
    <w:panose1 w:val="02000503000000020004"/>
    <w:charset w:val="00"/>
    <w:family w:val="auto"/>
    <w:pitch w:val="variable"/>
    <w:sig w:usb0="E00002FF" w:usb1="1200A1FF" w:usb2="00000000" w:usb3="00000000" w:csb0="0000019F" w:csb1="00000000"/>
  </w:font>
  <w:font w:name="IBM Plex Sans SemiBold">
    <w:panose1 w:val="020B0503050203000203"/>
    <w:charset w:val="00"/>
    <w:family w:val="swiss"/>
    <w:pitch w:val="variable"/>
    <w:sig w:usb0="A00002EF" w:usb1="5000203B" w:usb2="00000000" w:usb3="00000000" w:csb0="0000019F" w:csb1="00000000"/>
  </w:font>
  <w:font w:name="IBM Plex Sans Light">
    <w:panose1 w:val="020B0503050203000203"/>
    <w:charset w:val="00"/>
    <w:family w:val="swiss"/>
    <w:pitch w:val="variable"/>
    <w:sig w:usb0="A00002EF" w:usb1="5000203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IBM Plex Sans Medium">
    <w:panose1 w:val="020B0503050203000203"/>
    <w:charset w:val="00"/>
    <w:family w:val="swiss"/>
    <w:pitch w:val="variable"/>
    <w:sig w:usb0="A00002EF" w:usb1="5000203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E5DD" w14:textId="77777777" w:rsidR="00C95989" w:rsidRDefault="00C95989" w:rsidP="00026AC3">
      <w:pPr>
        <w:spacing w:after="0" w:line="240" w:lineRule="auto"/>
      </w:pPr>
      <w:r>
        <w:separator/>
      </w:r>
    </w:p>
  </w:footnote>
  <w:footnote w:type="continuationSeparator" w:id="0">
    <w:p w14:paraId="455F9B12" w14:textId="77777777" w:rsidR="00C95989" w:rsidRDefault="00C95989" w:rsidP="00026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CDB1" w14:textId="7B3BBAEB" w:rsidR="00026AC3" w:rsidRDefault="00026AC3" w:rsidP="00026AC3">
    <w:pPr>
      <w:pStyle w:val="Header"/>
      <w:jc w:val="right"/>
    </w:pPr>
    <w:r>
      <w:rPr>
        <w:noProof/>
      </w:rPr>
      <w:drawing>
        <wp:inline distT="0" distB="0" distL="0" distR="0" wp14:anchorId="3D7EC4A1" wp14:editId="46B4659E">
          <wp:extent cx="1265555" cy="393261"/>
          <wp:effectExtent l="0" t="0" r="0" b="6985"/>
          <wp:docPr id="202643914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39142" name="Picture 1">
                    <a:extLst>
                      <a:ext uri="{C183D7F6-B498-43B3-948B-1728B52AA6E4}">
                        <adec:decorative xmlns:adec="http://schemas.microsoft.com/office/drawing/2017/decorative" val="1"/>
                      </a:ext>
                    </a:extLst>
                  </pic:cNvPr>
                  <pic:cNvPicPr/>
                </pic:nvPicPr>
                <pic:blipFill rotWithShape="1">
                  <a:blip r:embed="rId1">
                    <a:extLst>
                      <a:ext uri="{28A0092B-C50C-407E-A947-70E740481C1C}">
                        <a14:useLocalDpi xmlns:a14="http://schemas.microsoft.com/office/drawing/2010/main" val="0"/>
                      </a:ext>
                    </a:extLst>
                  </a:blip>
                  <a:srcRect l="7866" t="35785" r="5495" b="37293"/>
                  <a:stretch>
                    <a:fillRect/>
                  </a:stretch>
                </pic:blipFill>
                <pic:spPr bwMode="auto">
                  <a:xfrm>
                    <a:off x="0" y="0"/>
                    <a:ext cx="1298563" cy="403518"/>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C6C"/>
    <w:multiLevelType w:val="hybridMultilevel"/>
    <w:tmpl w:val="5064A3F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C908C0"/>
    <w:multiLevelType w:val="hybridMultilevel"/>
    <w:tmpl w:val="9B1ABF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CC6DDD"/>
    <w:multiLevelType w:val="hybridMultilevel"/>
    <w:tmpl w:val="F02A1820"/>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DF648E1"/>
    <w:multiLevelType w:val="hybridMultilevel"/>
    <w:tmpl w:val="665414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961CF9"/>
    <w:multiLevelType w:val="hybridMultilevel"/>
    <w:tmpl w:val="5D00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0A4234F"/>
    <w:multiLevelType w:val="hybridMultilevel"/>
    <w:tmpl w:val="7488235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26150CC"/>
    <w:multiLevelType w:val="hybridMultilevel"/>
    <w:tmpl w:val="EB62C180"/>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2736BA5"/>
    <w:multiLevelType w:val="hybridMultilevel"/>
    <w:tmpl w:val="EBDE5F3C"/>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3567429"/>
    <w:multiLevelType w:val="hybridMultilevel"/>
    <w:tmpl w:val="3F4E05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6457942"/>
    <w:multiLevelType w:val="hybridMultilevel"/>
    <w:tmpl w:val="53425DA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93378D9"/>
    <w:multiLevelType w:val="hybridMultilevel"/>
    <w:tmpl w:val="F6B050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B1A6077"/>
    <w:multiLevelType w:val="hybridMultilevel"/>
    <w:tmpl w:val="EF7617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BC3324F"/>
    <w:multiLevelType w:val="hybridMultilevel"/>
    <w:tmpl w:val="87C287A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D074D1C"/>
    <w:multiLevelType w:val="hybridMultilevel"/>
    <w:tmpl w:val="C64A8B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1DC12FFD"/>
    <w:multiLevelType w:val="hybridMultilevel"/>
    <w:tmpl w:val="8AA2E31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DF4597F"/>
    <w:multiLevelType w:val="hybridMultilevel"/>
    <w:tmpl w:val="4D7019A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FD13AAC"/>
    <w:multiLevelType w:val="hybridMultilevel"/>
    <w:tmpl w:val="0C80E6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0CE2565"/>
    <w:multiLevelType w:val="hybridMultilevel"/>
    <w:tmpl w:val="7DEE81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2DC07D1"/>
    <w:multiLevelType w:val="hybridMultilevel"/>
    <w:tmpl w:val="1060B3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5137362"/>
    <w:multiLevelType w:val="hybridMultilevel"/>
    <w:tmpl w:val="AC98F1F8"/>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B3660D8"/>
    <w:multiLevelType w:val="hybridMultilevel"/>
    <w:tmpl w:val="2F0C553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2E936E70"/>
    <w:multiLevelType w:val="hybridMultilevel"/>
    <w:tmpl w:val="0D3615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33FA3E28"/>
    <w:multiLevelType w:val="hybridMultilevel"/>
    <w:tmpl w:val="701AF2C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36284E39"/>
    <w:multiLevelType w:val="hybridMultilevel"/>
    <w:tmpl w:val="CFBE24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39385CE5"/>
    <w:multiLevelType w:val="hybridMultilevel"/>
    <w:tmpl w:val="0720B67C"/>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39C73542"/>
    <w:multiLevelType w:val="hybridMultilevel"/>
    <w:tmpl w:val="F1167F16"/>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3DA806E6"/>
    <w:multiLevelType w:val="hybridMultilevel"/>
    <w:tmpl w:val="A8D0A6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3E2E3A99"/>
    <w:multiLevelType w:val="hybridMultilevel"/>
    <w:tmpl w:val="6262C5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012272A"/>
    <w:multiLevelType w:val="hybridMultilevel"/>
    <w:tmpl w:val="7736C1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43292BC3"/>
    <w:multiLevelType w:val="hybridMultilevel"/>
    <w:tmpl w:val="477E36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3BA7520"/>
    <w:multiLevelType w:val="hybridMultilevel"/>
    <w:tmpl w:val="33603654"/>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44176A12"/>
    <w:multiLevelType w:val="hybridMultilevel"/>
    <w:tmpl w:val="16C86164"/>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46ED22DA"/>
    <w:multiLevelType w:val="hybridMultilevel"/>
    <w:tmpl w:val="5964E16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470834EC"/>
    <w:multiLevelType w:val="hybridMultilevel"/>
    <w:tmpl w:val="0122C6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48E671D8"/>
    <w:multiLevelType w:val="hybridMultilevel"/>
    <w:tmpl w:val="987AE584"/>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ACD4EF7"/>
    <w:multiLevelType w:val="hybridMultilevel"/>
    <w:tmpl w:val="2092D17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4B1822F8"/>
    <w:multiLevelType w:val="hybridMultilevel"/>
    <w:tmpl w:val="68DC40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 w15:restartNumberingAfterBreak="0">
    <w:nsid w:val="4BF82523"/>
    <w:multiLevelType w:val="hybridMultilevel"/>
    <w:tmpl w:val="B37C19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4C8971D2"/>
    <w:multiLevelType w:val="hybridMultilevel"/>
    <w:tmpl w:val="B0289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4CF342BC"/>
    <w:multiLevelType w:val="hybridMultilevel"/>
    <w:tmpl w:val="BD10A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4DCB2B93"/>
    <w:multiLevelType w:val="hybridMultilevel"/>
    <w:tmpl w:val="C7BE43C2"/>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4EC51F98"/>
    <w:multiLevelType w:val="hybridMultilevel"/>
    <w:tmpl w:val="AC943E74"/>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4F8030B3"/>
    <w:multiLevelType w:val="hybridMultilevel"/>
    <w:tmpl w:val="206C3AA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3" w15:restartNumberingAfterBreak="0">
    <w:nsid w:val="522761F2"/>
    <w:multiLevelType w:val="hybridMultilevel"/>
    <w:tmpl w:val="881E86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4" w15:restartNumberingAfterBreak="0">
    <w:nsid w:val="536D4FF2"/>
    <w:multiLevelType w:val="hybridMultilevel"/>
    <w:tmpl w:val="603074A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545A3A93"/>
    <w:multiLevelType w:val="hybridMultilevel"/>
    <w:tmpl w:val="94F4D30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56293878"/>
    <w:multiLevelType w:val="hybridMultilevel"/>
    <w:tmpl w:val="2A28CE9C"/>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 w15:restartNumberingAfterBreak="0">
    <w:nsid w:val="57B63319"/>
    <w:multiLevelType w:val="hybridMultilevel"/>
    <w:tmpl w:val="3126039A"/>
    <w:lvl w:ilvl="0" w:tplc="267A5DEC">
      <w:start w:val="1"/>
      <w:numFmt w:val="bullet"/>
      <w:lvlText w:val="-"/>
      <w:lvlJc w:val="left"/>
      <w:pPr>
        <w:ind w:left="360" w:hanging="360"/>
      </w:pPr>
      <w:rPr>
        <w:rFonts w:ascii="Calibri Light" w:hAnsi="Calibri Light"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92D6304"/>
    <w:multiLevelType w:val="hybridMultilevel"/>
    <w:tmpl w:val="BC5E05A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5D31605B"/>
    <w:multiLevelType w:val="hybridMultilevel"/>
    <w:tmpl w:val="7738FA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5D7C2041"/>
    <w:multiLevelType w:val="hybridMultilevel"/>
    <w:tmpl w:val="37F2AAFA"/>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63493257"/>
    <w:multiLevelType w:val="hybridMultilevel"/>
    <w:tmpl w:val="BCAA79C6"/>
    <w:lvl w:ilvl="0" w:tplc="267A5DEC">
      <w:start w:val="1"/>
      <w:numFmt w:val="bullet"/>
      <w:lvlText w:val="-"/>
      <w:lvlJc w:val="left"/>
      <w:pPr>
        <w:ind w:left="360" w:hanging="360"/>
      </w:pPr>
      <w:rPr>
        <w:rFonts w:ascii="Calibri Light" w:hAnsi="Calibri Light"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2" w15:restartNumberingAfterBreak="0">
    <w:nsid w:val="649160F0"/>
    <w:multiLevelType w:val="hybridMultilevel"/>
    <w:tmpl w:val="3DBE2F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66481D6B"/>
    <w:multiLevelType w:val="hybridMultilevel"/>
    <w:tmpl w:val="A866D8FA"/>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 w15:restartNumberingAfterBreak="0">
    <w:nsid w:val="67D70152"/>
    <w:multiLevelType w:val="hybridMultilevel"/>
    <w:tmpl w:val="C44ABC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68277D8B"/>
    <w:multiLevelType w:val="hybridMultilevel"/>
    <w:tmpl w:val="3E6622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6AE518E1"/>
    <w:multiLevelType w:val="hybridMultilevel"/>
    <w:tmpl w:val="288608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7" w15:restartNumberingAfterBreak="0">
    <w:nsid w:val="6CC807F9"/>
    <w:multiLevelType w:val="hybridMultilevel"/>
    <w:tmpl w:val="1E502D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 w15:restartNumberingAfterBreak="0">
    <w:nsid w:val="70110ECA"/>
    <w:multiLevelType w:val="hybridMultilevel"/>
    <w:tmpl w:val="0A1655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9" w15:restartNumberingAfterBreak="0">
    <w:nsid w:val="72CA7624"/>
    <w:multiLevelType w:val="hybridMultilevel"/>
    <w:tmpl w:val="362812AA"/>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0" w15:restartNumberingAfterBreak="0">
    <w:nsid w:val="75D007A8"/>
    <w:multiLevelType w:val="hybridMultilevel"/>
    <w:tmpl w:val="6D0A7AF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1" w15:restartNumberingAfterBreak="0">
    <w:nsid w:val="763A7340"/>
    <w:multiLevelType w:val="hybridMultilevel"/>
    <w:tmpl w:val="7DBAD4F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2" w15:restartNumberingAfterBreak="0">
    <w:nsid w:val="78F40B4B"/>
    <w:multiLevelType w:val="hybridMultilevel"/>
    <w:tmpl w:val="018811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3" w15:restartNumberingAfterBreak="0">
    <w:nsid w:val="7E166120"/>
    <w:multiLevelType w:val="hybridMultilevel"/>
    <w:tmpl w:val="BC70AD42"/>
    <w:lvl w:ilvl="0" w:tplc="267A5DEC">
      <w:start w:val="1"/>
      <w:numFmt w:val="bullet"/>
      <w:lvlText w:val="-"/>
      <w:lvlJc w:val="left"/>
      <w:pPr>
        <w:ind w:left="360" w:hanging="360"/>
      </w:pPr>
      <w:rPr>
        <w:rFonts w:ascii="Calibri Light" w:hAnsi="Calibri Light"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4" w15:restartNumberingAfterBreak="0">
    <w:nsid w:val="7EC072E6"/>
    <w:multiLevelType w:val="hybridMultilevel"/>
    <w:tmpl w:val="50AEA8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7F262E9E"/>
    <w:multiLevelType w:val="hybridMultilevel"/>
    <w:tmpl w:val="3FA86F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88783027">
    <w:abstractNumId w:val="35"/>
  </w:num>
  <w:num w:numId="2" w16cid:durableId="1103259034">
    <w:abstractNumId w:val="13"/>
  </w:num>
  <w:num w:numId="3" w16cid:durableId="605119753">
    <w:abstractNumId w:val="52"/>
  </w:num>
  <w:num w:numId="4" w16cid:durableId="596521822">
    <w:abstractNumId w:val="36"/>
  </w:num>
  <w:num w:numId="5" w16cid:durableId="1025134996">
    <w:abstractNumId w:val="44"/>
  </w:num>
  <w:num w:numId="6" w16cid:durableId="1550803500">
    <w:abstractNumId w:val="65"/>
  </w:num>
  <w:num w:numId="7" w16cid:durableId="787160497">
    <w:abstractNumId w:val="45"/>
  </w:num>
  <w:num w:numId="8" w16cid:durableId="2061174210">
    <w:abstractNumId w:val="18"/>
  </w:num>
  <w:num w:numId="9" w16cid:durableId="283118943">
    <w:abstractNumId w:val="9"/>
  </w:num>
  <w:num w:numId="10" w16cid:durableId="702291980">
    <w:abstractNumId w:val="16"/>
  </w:num>
  <w:num w:numId="11" w16cid:durableId="190730444">
    <w:abstractNumId w:val="62"/>
  </w:num>
  <w:num w:numId="12" w16cid:durableId="585117044">
    <w:abstractNumId w:val="0"/>
  </w:num>
  <w:num w:numId="13" w16cid:durableId="142745333">
    <w:abstractNumId w:val="39"/>
  </w:num>
  <w:num w:numId="14" w16cid:durableId="573124526">
    <w:abstractNumId w:val="57"/>
  </w:num>
  <w:num w:numId="15" w16cid:durableId="891238150">
    <w:abstractNumId w:val="8"/>
  </w:num>
  <w:num w:numId="16" w16cid:durableId="276986676">
    <w:abstractNumId w:val="38"/>
  </w:num>
  <w:num w:numId="17" w16cid:durableId="351342342">
    <w:abstractNumId w:val="1"/>
  </w:num>
  <w:num w:numId="18" w16cid:durableId="864754866">
    <w:abstractNumId w:val="3"/>
  </w:num>
  <w:num w:numId="19" w16cid:durableId="103114720">
    <w:abstractNumId w:val="37"/>
  </w:num>
  <w:num w:numId="20" w16cid:durableId="1015234078">
    <w:abstractNumId w:val="28"/>
  </w:num>
  <w:num w:numId="21" w16cid:durableId="849371349">
    <w:abstractNumId w:val="11"/>
  </w:num>
  <w:num w:numId="22" w16cid:durableId="390808942">
    <w:abstractNumId w:val="26"/>
  </w:num>
  <w:num w:numId="23" w16cid:durableId="2089691764">
    <w:abstractNumId w:val="55"/>
  </w:num>
  <w:num w:numId="24" w16cid:durableId="474374871">
    <w:abstractNumId w:val="10"/>
  </w:num>
  <w:num w:numId="25" w16cid:durableId="1925988623">
    <w:abstractNumId w:val="5"/>
  </w:num>
  <w:num w:numId="26" w16cid:durableId="405345459">
    <w:abstractNumId w:val="29"/>
  </w:num>
  <w:num w:numId="27" w16cid:durableId="910307009">
    <w:abstractNumId w:val="54"/>
  </w:num>
  <w:num w:numId="28" w16cid:durableId="963123567">
    <w:abstractNumId w:val="56"/>
  </w:num>
  <w:num w:numId="29" w16cid:durableId="1406605685">
    <w:abstractNumId w:val="32"/>
  </w:num>
  <w:num w:numId="30" w16cid:durableId="1534266427">
    <w:abstractNumId w:val="48"/>
  </w:num>
  <w:num w:numId="31" w16cid:durableId="1817794016">
    <w:abstractNumId w:val="27"/>
  </w:num>
  <w:num w:numId="32" w16cid:durableId="1451120350">
    <w:abstractNumId w:val="43"/>
  </w:num>
  <w:num w:numId="33" w16cid:durableId="481310800">
    <w:abstractNumId w:val="4"/>
  </w:num>
  <w:num w:numId="34" w16cid:durableId="1308514813">
    <w:abstractNumId w:val="64"/>
  </w:num>
  <w:num w:numId="35" w16cid:durableId="1873301257">
    <w:abstractNumId w:val="49"/>
  </w:num>
  <w:num w:numId="36" w16cid:durableId="433862223">
    <w:abstractNumId w:val="21"/>
  </w:num>
  <w:num w:numId="37" w16cid:durableId="1466509845">
    <w:abstractNumId w:val="14"/>
  </w:num>
  <w:num w:numId="38" w16cid:durableId="1690333908">
    <w:abstractNumId w:val="58"/>
  </w:num>
  <w:num w:numId="39" w16cid:durableId="1944805359">
    <w:abstractNumId w:val="17"/>
  </w:num>
  <w:num w:numId="40" w16cid:durableId="941037108">
    <w:abstractNumId w:val="61"/>
  </w:num>
  <w:num w:numId="41" w16cid:durableId="786042327">
    <w:abstractNumId w:val="23"/>
  </w:num>
  <w:num w:numId="42" w16cid:durableId="258293429">
    <w:abstractNumId w:val="60"/>
  </w:num>
  <w:num w:numId="43" w16cid:durableId="1044140739">
    <w:abstractNumId w:val="53"/>
  </w:num>
  <w:num w:numId="44" w16cid:durableId="1001590472">
    <w:abstractNumId w:val="33"/>
  </w:num>
  <w:num w:numId="45" w16cid:durableId="804928052">
    <w:abstractNumId w:val="20"/>
  </w:num>
  <w:num w:numId="46" w16cid:durableId="1966886681">
    <w:abstractNumId w:val="22"/>
  </w:num>
  <w:num w:numId="47" w16cid:durableId="143861375">
    <w:abstractNumId w:val="12"/>
  </w:num>
  <w:num w:numId="48" w16cid:durableId="1341932415">
    <w:abstractNumId w:val="7"/>
  </w:num>
  <w:num w:numId="49" w16cid:durableId="773596674">
    <w:abstractNumId w:val="34"/>
  </w:num>
  <w:num w:numId="50" w16cid:durableId="1572543028">
    <w:abstractNumId w:val="25"/>
  </w:num>
  <w:num w:numId="51" w16cid:durableId="2023387969">
    <w:abstractNumId w:val="51"/>
  </w:num>
  <w:num w:numId="52" w16cid:durableId="1181895603">
    <w:abstractNumId w:val="41"/>
  </w:num>
  <w:num w:numId="53" w16cid:durableId="704253682">
    <w:abstractNumId w:val="15"/>
  </w:num>
  <w:num w:numId="54" w16cid:durableId="484048944">
    <w:abstractNumId w:val="50"/>
  </w:num>
  <w:num w:numId="55" w16cid:durableId="1085155053">
    <w:abstractNumId w:val="6"/>
  </w:num>
  <w:num w:numId="56" w16cid:durableId="1589271959">
    <w:abstractNumId w:val="31"/>
  </w:num>
  <w:num w:numId="57" w16cid:durableId="429663051">
    <w:abstractNumId w:val="19"/>
  </w:num>
  <w:num w:numId="58" w16cid:durableId="26032003">
    <w:abstractNumId w:val="42"/>
  </w:num>
  <w:num w:numId="59" w16cid:durableId="1314404948">
    <w:abstractNumId w:val="59"/>
  </w:num>
  <w:num w:numId="60" w16cid:durableId="1351179081">
    <w:abstractNumId w:val="30"/>
  </w:num>
  <w:num w:numId="61" w16cid:durableId="1941601267">
    <w:abstractNumId w:val="63"/>
  </w:num>
  <w:num w:numId="62" w16cid:durableId="863519873">
    <w:abstractNumId w:val="46"/>
  </w:num>
  <w:num w:numId="63" w16cid:durableId="309790641">
    <w:abstractNumId w:val="40"/>
  </w:num>
  <w:num w:numId="64" w16cid:durableId="2028285528">
    <w:abstractNumId w:val="47"/>
  </w:num>
  <w:num w:numId="65" w16cid:durableId="1223981018">
    <w:abstractNumId w:val="24"/>
  </w:num>
  <w:num w:numId="66" w16cid:durableId="72905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C3"/>
    <w:rsid w:val="00007C76"/>
    <w:rsid w:val="00013BE1"/>
    <w:rsid w:val="00026AC3"/>
    <w:rsid w:val="00032FB2"/>
    <w:rsid w:val="0004059E"/>
    <w:rsid w:val="000432E6"/>
    <w:rsid w:val="00053A4D"/>
    <w:rsid w:val="00062F28"/>
    <w:rsid w:val="000737E6"/>
    <w:rsid w:val="0007440B"/>
    <w:rsid w:val="00074C90"/>
    <w:rsid w:val="00097164"/>
    <w:rsid w:val="000B2DC2"/>
    <w:rsid w:val="000B3136"/>
    <w:rsid w:val="000B59C6"/>
    <w:rsid w:val="000C3D4B"/>
    <w:rsid w:val="000C5842"/>
    <w:rsid w:val="000D1FF5"/>
    <w:rsid w:val="0010338B"/>
    <w:rsid w:val="00110626"/>
    <w:rsid w:val="00122EF5"/>
    <w:rsid w:val="001623EE"/>
    <w:rsid w:val="00180C08"/>
    <w:rsid w:val="001B4E35"/>
    <w:rsid w:val="001E7C4D"/>
    <w:rsid w:val="00201651"/>
    <w:rsid w:val="00201C03"/>
    <w:rsid w:val="00221129"/>
    <w:rsid w:val="00224D6D"/>
    <w:rsid w:val="00244ECD"/>
    <w:rsid w:val="00257DF1"/>
    <w:rsid w:val="00271C66"/>
    <w:rsid w:val="002906A0"/>
    <w:rsid w:val="00291B5D"/>
    <w:rsid w:val="002972AA"/>
    <w:rsid w:val="002B668A"/>
    <w:rsid w:val="002E5AC9"/>
    <w:rsid w:val="002F341B"/>
    <w:rsid w:val="00302552"/>
    <w:rsid w:val="00307226"/>
    <w:rsid w:val="00333349"/>
    <w:rsid w:val="003767BE"/>
    <w:rsid w:val="0038146F"/>
    <w:rsid w:val="00385D41"/>
    <w:rsid w:val="003A3C68"/>
    <w:rsid w:val="003B5CE7"/>
    <w:rsid w:val="003C494E"/>
    <w:rsid w:val="003D37A3"/>
    <w:rsid w:val="003D51C7"/>
    <w:rsid w:val="003E1EE3"/>
    <w:rsid w:val="0041180B"/>
    <w:rsid w:val="00430329"/>
    <w:rsid w:val="00431360"/>
    <w:rsid w:val="004409C6"/>
    <w:rsid w:val="00440C70"/>
    <w:rsid w:val="004749E5"/>
    <w:rsid w:val="00475C28"/>
    <w:rsid w:val="0048401A"/>
    <w:rsid w:val="00486E28"/>
    <w:rsid w:val="004B1C6C"/>
    <w:rsid w:val="004B472C"/>
    <w:rsid w:val="004C051E"/>
    <w:rsid w:val="004D0AA9"/>
    <w:rsid w:val="004D3709"/>
    <w:rsid w:val="004F7F49"/>
    <w:rsid w:val="00507409"/>
    <w:rsid w:val="00511AFE"/>
    <w:rsid w:val="0052551C"/>
    <w:rsid w:val="00531BFE"/>
    <w:rsid w:val="005521AE"/>
    <w:rsid w:val="0055386C"/>
    <w:rsid w:val="0057273F"/>
    <w:rsid w:val="00581470"/>
    <w:rsid w:val="005A2BEA"/>
    <w:rsid w:val="005A5F7C"/>
    <w:rsid w:val="005A6707"/>
    <w:rsid w:val="005C1735"/>
    <w:rsid w:val="005D15A4"/>
    <w:rsid w:val="005F2940"/>
    <w:rsid w:val="005F6DC1"/>
    <w:rsid w:val="006059A7"/>
    <w:rsid w:val="0061527C"/>
    <w:rsid w:val="006326F7"/>
    <w:rsid w:val="006332FC"/>
    <w:rsid w:val="00653B17"/>
    <w:rsid w:val="006933FB"/>
    <w:rsid w:val="006B7411"/>
    <w:rsid w:val="006D1C7D"/>
    <w:rsid w:val="006E1AD1"/>
    <w:rsid w:val="006F5D5B"/>
    <w:rsid w:val="00712585"/>
    <w:rsid w:val="00715C36"/>
    <w:rsid w:val="00737127"/>
    <w:rsid w:val="0075018A"/>
    <w:rsid w:val="007810BA"/>
    <w:rsid w:val="00785D88"/>
    <w:rsid w:val="007922FF"/>
    <w:rsid w:val="007A5962"/>
    <w:rsid w:val="007C0246"/>
    <w:rsid w:val="007C1138"/>
    <w:rsid w:val="007C6362"/>
    <w:rsid w:val="007D1D92"/>
    <w:rsid w:val="007D5435"/>
    <w:rsid w:val="007F3164"/>
    <w:rsid w:val="00804369"/>
    <w:rsid w:val="00824C04"/>
    <w:rsid w:val="008278D3"/>
    <w:rsid w:val="00843C5A"/>
    <w:rsid w:val="00855543"/>
    <w:rsid w:val="008579B7"/>
    <w:rsid w:val="00864331"/>
    <w:rsid w:val="00874CC8"/>
    <w:rsid w:val="0088779A"/>
    <w:rsid w:val="00897B73"/>
    <w:rsid w:val="008A10E4"/>
    <w:rsid w:val="008A535A"/>
    <w:rsid w:val="008A559D"/>
    <w:rsid w:val="008A7717"/>
    <w:rsid w:val="008B46A0"/>
    <w:rsid w:val="008B4C0C"/>
    <w:rsid w:val="008B4C60"/>
    <w:rsid w:val="008D3614"/>
    <w:rsid w:val="008D3C2C"/>
    <w:rsid w:val="009155E7"/>
    <w:rsid w:val="00934EF5"/>
    <w:rsid w:val="00950573"/>
    <w:rsid w:val="0095557B"/>
    <w:rsid w:val="00975FAA"/>
    <w:rsid w:val="00980A33"/>
    <w:rsid w:val="00982FF7"/>
    <w:rsid w:val="0098405B"/>
    <w:rsid w:val="009851B8"/>
    <w:rsid w:val="009C0690"/>
    <w:rsid w:val="009C6024"/>
    <w:rsid w:val="009D719B"/>
    <w:rsid w:val="00A0384E"/>
    <w:rsid w:val="00A161EA"/>
    <w:rsid w:val="00A251D6"/>
    <w:rsid w:val="00A36701"/>
    <w:rsid w:val="00A36B8D"/>
    <w:rsid w:val="00A455D5"/>
    <w:rsid w:val="00A60F39"/>
    <w:rsid w:val="00A61D05"/>
    <w:rsid w:val="00A67237"/>
    <w:rsid w:val="00A67C74"/>
    <w:rsid w:val="00A81C09"/>
    <w:rsid w:val="00A92497"/>
    <w:rsid w:val="00A93B0D"/>
    <w:rsid w:val="00A96D86"/>
    <w:rsid w:val="00AB4BFB"/>
    <w:rsid w:val="00AB6E8C"/>
    <w:rsid w:val="00AC000C"/>
    <w:rsid w:val="00AD03BA"/>
    <w:rsid w:val="00AD33EC"/>
    <w:rsid w:val="00AE3CC9"/>
    <w:rsid w:val="00B14D9C"/>
    <w:rsid w:val="00B168AE"/>
    <w:rsid w:val="00B174E2"/>
    <w:rsid w:val="00B2411B"/>
    <w:rsid w:val="00B3133E"/>
    <w:rsid w:val="00B3420F"/>
    <w:rsid w:val="00B51FC8"/>
    <w:rsid w:val="00B54FDA"/>
    <w:rsid w:val="00B57BE6"/>
    <w:rsid w:val="00B76047"/>
    <w:rsid w:val="00B774A0"/>
    <w:rsid w:val="00B83CB3"/>
    <w:rsid w:val="00B869A1"/>
    <w:rsid w:val="00B91078"/>
    <w:rsid w:val="00B95E47"/>
    <w:rsid w:val="00B97194"/>
    <w:rsid w:val="00BA1855"/>
    <w:rsid w:val="00BB5C79"/>
    <w:rsid w:val="00BC5021"/>
    <w:rsid w:val="00BE57DF"/>
    <w:rsid w:val="00BF52E5"/>
    <w:rsid w:val="00C03A2C"/>
    <w:rsid w:val="00C05937"/>
    <w:rsid w:val="00C245BE"/>
    <w:rsid w:val="00C53DB6"/>
    <w:rsid w:val="00C77056"/>
    <w:rsid w:val="00C778E4"/>
    <w:rsid w:val="00C8666F"/>
    <w:rsid w:val="00C93731"/>
    <w:rsid w:val="00C95989"/>
    <w:rsid w:val="00C96B1B"/>
    <w:rsid w:val="00CA30EF"/>
    <w:rsid w:val="00CA663A"/>
    <w:rsid w:val="00CB0C95"/>
    <w:rsid w:val="00CE4C03"/>
    <w:rsid w:val="00CE5A5B"/>
    <w:rsid w:val="00CF0256"/>
    <w:rsid w:val="00D078AD"/>
    <w:rsid w:val="00D1065A"/>
    <w:rsid w:val="00D16081"/>
    <w:rsid w:val="00D209CD"/>
    <w:rsid w:val="00D2147F"/>
    <w:rsid w:val="00D22C44"/>
    <w:rsid w:val="00D239D4"/>
    <w:rsid w:val="00D30EAC"/>
    <w:rsid w:val="00D32DBF"/>
    <w:rsid w:val="00D44056"/>
    <w:rsid w:val="00D44C56"/>
    <w:rsid w:val="00D5415D"/>
    <w:rsid w:val="00D56EDE"/>
    <w:rsid w:val="00D9095A"/>
    <w:rsid w:val="00D917D4"/>
    <w:rsid w:val="00DB25EB"/>
    <w:rsid w:val="00E02145"/>
    <w:rsid w:val="00E10D59"/>
    <w:rsid w:val="00E13964"/>
    <w:rsid w:val="00E47963"/>
    <w:rsid w:val="00E56F4E"/>
    <w:rsid w:val="00E71AD8"/>
    <w:rsid w:val="00E73677"/>
    <w:rsid w:val="00E74DB5"/>
    <w:rsid w:val="00E861C4"/>
    <w:rsid w:val="00EB6FA9"/>
    <w:rsid w:val="00EC5685"/>
    <w:rsid w:val="00EE3FC8"/>
    <w:rsid w:val="00EE4A38"/>
    <w:rsid w:val="00EF0DCF"/>
    <w:rsid w:val="00EF375B"/>
    <w:rsid w:val="00F028F7"/>
    <w:rsid w:val="00F51085"/>
    <w:rsid w:val="00F56EEA"/>
    <w:rsid w:val="00F6280B"/>
    <w:rsid w:val="00F73765"/>
    <w:rsid w:val="00F77384"/>
    <w:rsid w:val="00FC6CC7"/>
    <w:rsid w:val="00FC74A7"/>
    <w:rsid w:val="00FD60E3"/>
    <w:rsid w:val="00FF07CE"/>
    <w:rsid w:val="00FF142A"/>
    <w:rsid w:val="00FF28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9F3B9"/>
  <w15:chartTrackingRefBased/>
  <w15:docId w15:val="{E88B4C84-EFEF-4F71-AF73-BBBA25195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AC3"/>
    <w:rPr>
      <w:sz w:val="20"/>
    </w:rPr>
  </w:style>
  <w:style w:type="paragraph" w:styleId="Heading1">
    <w:name w:val="heading 1"/>
    <w:basedOn w:val="Normal"/>
    <w:next w:val="Normal"/>
    <w:link w:val="Heading1Char"/>
    <w:uiPriority w:val="9"/>
    <w:qFormat/>
    <w:rsid w:val="006F5D5B"/>
    <w:pPr>
      <w:keepNext/>
      <w:keepLines/>
      <w:spacing w:before="360" w:after="80"/>
      <w:outlineLvl w:val="0"/>
    </w:pPr>
    <w:rPr>
      <w:rFonts w:asciiTheme="majorHAnsi" w:eastAsiaTheme="majorEastAsia" w:hAnsiTheme="majorHAnsi" w:cstheme="majorBidi"/>
      <w:color w:val="0B3954" w:themeColor="accent1"/>
      <w:sz w:val="36"/>
      <w:szCs w:val="40"/>
    </w:rPr>
  </w:style>
  <w:style w:type="paragraph" w:styleId="Heading2">
    <w:name w:val="heading 2"/>
    <w:basedOn w:val="Normal"/>
    <w:next w:val="Normal"/>
    <w:link w:val="Heading2Char"/>
    <w:uiPriority w:val="9"/>
    <w:unhideWhenUsed/>
    <w:qFormat/>
    <w:rsid w:val="006F5D5B"/>
    <w:pPr>
      <w:keepNext/>
      <w:keepLines/>
      <w:spacing w:before="160" w:after="80"/>
      <w:outlineLvl w:val="1"/>
    </w:pPr>
    <w:rPr>
      <w:rFonts w:asciiTheme="majorHAnsi" w:eastAsiaTheme="majorEastAsia" w:hAnsiTheme="majorHAnsi" w:cstheme="majorBidi"/>
      <w:color w:val="000000" w:themeColor="accent3"/>
      <w:sz w:val="32"/>
      <w:szCs w:val="32"/>
    </w:rPr>
  </w:style>
  <w:style w:type="paragraph" w:styleId="Heading3">
    <w:name w:val="heading 3"/>
    <w:basedOn w:val="Normal"/>
    <w:next w:val="Normal"/>
    <w:link w:val="Heading3Char"/>
    <w:uiPriority w:val="9"/>
    <w:unhideWhenUsed/>
    <w:qFormat/>
    <w:rsid w:val="006F5D5B"/>
    <w:pPr>
      <w:keepNext/>
      <w:keepLines/>
      <w:spacing w:before="160" w:after="80"/>
      <w:outlineLvl w:val="2"/>
    </w:pPr>
    <w:rPr>
      <w:rFonts w:eastAsiaTheme="majorEastAsia" w:cstheme="majorBidi"/>
      <w:color w:val="000000" w:themeColor="accent3"/>
      <w:sz w:val="28"/>
      <w:szCs w:val="28"/>
    </w:rPr>
  </w:style>
  <w:style w:type="paragraph" w:styleId="Heading4">
    <w:name w:val="heading 4"/>
    <w:basedOn w:val="Normal"/>
    <w:next w:val="Normal"/>
    <w:link w:val="Heading4Char"/>
    <w:uiPriority w:val="9"/>
    <w:unhideWhenUsed/>
    <w:qFormat/>
    <w:rsid w:val="006F5D5B"/>
    <w:pPr>
      <w:keepNext/>
      <w:keepLines/>
      <w:spacing w:before="80" w:after="40"/>
      <w:outlineLvl w:val="3"/>
    </w:pPr>
    <w:rPr>
      <w:rFonts w:eastAsiaTheme="majorEastAsia" w:cstheme="majorBidi"/>
      <w:iCs/>
      <w:color w:val="000000" w:themeColor="accent3"/>
      <w:sz w:val="24"/>
    </w:rPr>
  </w:style>
  <w:style w:type="paragraph" w:styleId="Heading5">
    <w:name w:val="heading 5"/>
    <w:basedOn w:val="Normal"/>
    <w:next w:val="Normal"/>
    <w:link w:val="Heading5Char"/>
    <w:uiPriority w:val="9"/>
    <w:semiHidden/>
    <w:unhideWhenUsed/>
    <w:rsid w:val="00026AC3"/>
    <w:pPr>
      <w:keepNext/>
      <w:keepLines/>
      <w:spacing w:before="80" w:after="40"/>
      <w:outlineLvl w:val="4"/>
    </w:pPr>
    <w:rPr>
      <w:rFonts w:eastAsiaTheme="majorEastAsia" w:cstheme="majorBidi"/>
      <w:color w:val="082A3E" w:themeColor="accent1" w:themeShade="BF"/>
    </w:rPr>
  </w:style>
  <w:style w:type="paragraph" w:styleId="Heading6">
    <w:name w:val="heading 6"/>
    <w:basedOn w:val="Normal"/>
    <w:next w:val="Normal"/>
    <w:link w:val="Heading6Char"/>
    <w:uiPriority w:val="9"/>
    <w:semiHidden/>
    <w:unhideWhenUsed/>
    <w:qFormat/>
    <w:rsid w:val="00026AC3"/>
    <w:pPr>
      <w:keepNext/>
      <w:keepLines/>
      <w:spacing w:before="40" w:after="0"/>
      <w:outlineLvl w:val="5"/>
    </w:pPr>
    <w:rPr>
      <w:rFonts w:eastAsiaTheme="majorEastAsia" w:cstheme="majorBidi"/>
      <w:i/>
      <w:iCs/>
      <w:color w:val="2561B1" w:themeColor="text1" w:themeTint="A6"/>
    </w:rPr>
  </w:style>
  <w:style w:type="paragraph" w:styleId="Heading7">
    <w:name w:val="heading 7"/>
    <w:basedOn w:val="Normal"/>
    <w:next w:val="Normal"/>
    <w:link w:val="Heading7Char"/>
    <w:uiPriority w:val="9"/>
    <w:semiHidden/>
    <w:unhideWhenUsed/>
    <w:qFormat/>
    <w:rsid w:val="00026AC3"/>
    <w:pPr>
      <w:keepNext/>
      <w:keepLines/>
      <w:spacing w:before="40" w:after="0"/>
      <w:outlineLvl w:val="6"/>
    </w:pPr>
    <w:rPr>
      <w:rFonts w:eastAsiaTheme="majorEastAsia" w:cstheme="majorBidi"/>
      <w:color w:val="2561B1" w:themeColor="text1" w:themeTint="A6"/>
    </w:rPr>
  </w:style>
  <w:style w:type="paragraph" w:styleId="Heading8">
    <w:name w:val="heading 8"/>
    <w:basedOn w:val="Normal"/>
    <w:next w:val="Normal"/>
    <w:link w:val="Heading8Char"/>
    <w:uiPriority w:val="9"/>
    <w:semiHidden/>
    <w:unhideWhenUsed/>
    <w:qFormat/>
    <w:rsid w:val="00026AC3"/>
    <w:pPr>
      <w:keepNext/>
      <w:keepLines/>
      <w:spacing w:after="0"/>
      <w:outlineLvl w:val="7"/>
    </w:pPr>
    <w:rPr>
      <w:rFonts w:eastAsiaTheme="majorEastAsia" w:cstheme="majorBidi"/>
      <w:i/>
      <w:iCs/>
      <w:color w:val="163967" w:themeColor="text1" w:themeTint="D8"/>
    </w:rPr>
  </w:style>
  <w:style w:type="paragraph" w:styleId="Heading9">
    <w:name w:val="heading 9"/>
    <w:basedOn w:val="Normal"/>
    <w:next w:val="Normal"/>
    <w:link w:val="Heading9Char"/>
    <w:uiPriority w:val="9"/>
    <w:semiHidden/>
    <w:unhideWhenUsed/>
    <w:qFormat/>
    <w:rsid w:val="00026AC3"/>
    <w:pPr>
      <w:keepNext/>
      <w:keepLines/>
      <w:spacing w:after="0"/>
      <w:outlineLvl w:val="8"/>
    </w:pPr>
    <w:rPr>
      <w:rFonts w:eastAsiaTheme="majorEastAsia" w:cstheme="majorBidi"/>
      <w:color w:val="16396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D5B"/>
    <w:rPr>
      <w:rFonts w:asciiTheme="majorHAnsi" w:eastAsiaTheme="majorEastAsia" w:hAnsiTheme="majorHAnsi" w:cstheme="majorBidi"/>
      <w:color w:val="0B3954" w:themeColor="accent1"/>
      <w:sz w:val="36"/>
      <w:szCs w:val="40"/>
    </w:rPr>
  </w:style>
  <w:style w:type="character" w:customStyle="1" w:styleId="Heading2Char">
    <w:name w:val="Heading 2 Char"/>
    <w:basedOn w:val="DefaultParagraphFont"/>
    <w:link w:val="Heading2"/>
    <w:uiPriority w:val="9"/>
    <w:rsid w:val="006F5D5B"/>
    <w:rPr>
      <w:rFonts w:asciiTheme="majorHAnsi" w:eastAsiaTheme="majorEastAsia" w:hAnsiTheme="majorHAnsi" w:cstheme="majorBidi"/>
      <w:color w:val="000000" w:themeColor="accent3"/>
      <w:sz w:val="32"/>
      <w:szCs w:val="32"/>
    </w:rPr>
  </w:style>
  <w:style w:type="character" w:customStyle="1" w:styleId="Heading3Char">
    <w:name w:val="Heading 3 Char"/>
    <w:basedOn w:val="DefaultParagraphFont"/>
    <w:link w:val="Heading3"/>
    <w:uiPriority w:val="9"/>
    <w:rsid w:val="006F5D5B"/>
    <w:rPr>
      <w:rFonts w:eastAsiaTheme="majorEastAsia" w:cstheme="majorBidi"/>
      <w:color w:val="000000" w:themeColor="accent3"/>
      <w:sz w:val="28"/>
      <w:szCs w:val="28"/>
    </w:rPr>
  </w:style>
  <w:style w:type="character" w:customStyle="1" w:styleId="Heading4Char">
    <w:name w:val="Heading 4 Char"/>
    <w:basedOn w:val="DefaultParagraphFont"/>
    <w:link w:val="Heading4"/>
    <w:uiPriority w:val="9"/>
    <w:rsid w:val="006F5D5B"/>
    <w:rPr>
      <w:rFonts w:eastAsiaTheme="majorEastAsia" w:cstheme="majorBidi"/>
      <w:iCs/>
      <w:color w:val="000000" w:themeColor="accent3"/>
      <w:sz w:val="24"/>
    </w:rPr>
  </w:style>
  <w:style w:type="character" w:customStyle="1" w:styleId="Heading5Char">
    <w:name w:val="Heading 5 Char"/>
    <w:basedOn w:val="DefaultParagraphFont"/>
    <w:link w:val="Heading5"/>
    <w:uiPriority w:val="9"/>
    <w:semiHidden/>
    <w:rsid w:val="00026AC3"/>
    <w:rPr>
      <w:rFonts w:eastAsiaTheme="majorEastAsia" w:cstheme="majorBidi"/>
      <w:color w:val="082A3E" w:themeColor="accent1" w:themeShade="BF"/>
    </w:rPr>
  </w:style>
  <w:style w:type="character" w:customStyle="1" w:styleId="Heading6Char">
    <w:name w:val="Heading 6 Char"/>
    <w:basedOn w:val="DefaultParagraphFont"/>
    <w:link w:val="Heading6"/>
    <w:uiPriority w:val="9"/>
    <w:semiHidden/>
    <w:rsid w:val="00026AC3"/>
    <w:rPr>
      <w:rFonts w:eastAsiaTheme="majorEastAsia" w:cstheme="majorBidi"/>
      <w:i/>
      <w:iCs/>
      <w:color w:val="2561B1" w:themeColor="text1" w:themeTint="A6"/>
    </w:rPr>
  </w:style>
  <w:style w:type="character" w:customStyle="1" w:styleId="Heading7Char">
    <w:name w:val="Heading 7 Char"/>
    <w:basedOn w:val="DefaultParagraphFont"/>
    <w:link w:val="Heading7"/>
    <w:uiPriority w:val="9"/>
    <w:semiHidden/>
    <w:rsid w:val="00026AC3"/>
    <w:rPr>
      <w:rFonts w:eastAsiaTheme="majorEastAsia" w:cstheme="majorBidi"/>
      <w:color w:val="2561B1" w:themeColor="text1" w:themeTint="A6"/>
    </w:rPr>
  </w:style>
  <w:style w:type="character" w:customStyle="1" w:styleId="Heading8Char">
    <w:name w:val="Heading 8 Char"/>
    <w:basedOn w:val="DefaultParagraphFont"/>
    <w:link w:val="Heading8"/>
    <w:uiPriority w:val="9"/>
    <w:semiHidden/>
    <w:rsid w:val="00026AC3"/>
    <w:rPr>
      <w:rFonts w:eastAsiaTheme="majorEastAsia" w:cstheme="majorBidi"/>
      <w:i/>
      <w:iCs/>
      <w:color w:val="163967" w:themeColor="text1" w:themeTint="D8"/>
    </w:rPr>
  </w:style>
  <w:style w:type="character" w:customStyle="1" w:styleId="Heading9Char">
    <w:name w:val="Heading 9 Char"/>
    <w:basedOn w:val="DefaultParagraphFont"/>
    <w:link w:val="Heading9"/>
    <w:uiPriority w:val="9"/>
    <w:semiHidden/>
    <w:rsid w:val="00026AC3"/>
    <w:rPr>
      <w:rFonts w:eastAsiaTheme="majorEastAsia" w:cstheme="majorBidi"/>
      <w:color w:val="163967" w:themeColor="text1" w:themeTint="D8"/>
    </w:rPr>
  </w:style>
  <w:style w:type="paragraph" w:styleId="Title">
    <w:name w:val="Title"/>
    <w:basedOn w:val="Normal"/>
    <w:next w:val="Normal"/>
    <w:link w:val="TitleChar"/>
    <w:uiPriority w:val="10"/>
    <w:qFormat/>
    <w:rsid w:val="00F77384"/>
    <w:pPr>
      <w:spacing w:after="80" w:line="240" w:lineRule="auto"/>
      <w:contextualSpacing/>
    </w:pPr>
    <w:rPr>
      <w:rFonts w:ascii="Inter ExtraBold" w:eastAsiaTheme="majorEastAsia" w:hAnsi="Inter ExtraBold" w:cstheme="majorBidi"/>
      <w:color w:val="0599AD" w:themeColor="accent2"/>
      <w:spacing w:val="-10"/>
      <w:kern w:val="28"/>
      <w:sz w:val="56"/>
      <w:szCs w:val="56"/>
    </w:rPr>
  </w:style>
  <w:style w:type="character" w:customStyle="1" w:styleId="TitleChar">
    <w:name w:val="Title Char"/>
    <w:basedOn w:val="DefaultParagraphFont"/>
    <w:link w:val="Title"/>
    <w:uiPriority w:val="10"/>
    <w:rsid w:val="00F77384"/>
    <w:rPr>
      <w:rFonts w:ascii="Inter ExtraBold" w:eastAsiaTheme="majorEastAsia" w:hAnsi="Inter ExtraBold" w:cstheme="majorBidi"/>
      <w:color w:val="0599AD" w:themeColor="accent2"/>
      <w:spacing w:val="-10"/>
      <w:kern w:val="28"/>
      <w:sz w:val="56"/>
      <w:szCs w:val="56"/>
    </w:rPr>
  </w:style>
  <w:style w:type="paragraph" w:styleId="Subtitle">
    <w:name w:val="Subtitle"/>
    <w:basedOn w:val="Normal"/>
    <w:next w:val="Normal"/>
    <w:link w:val="SubtitleChar"/>
    <w:uiPriority w:val="11"/>
    <w:qFormat/>
    <w:rsid w:val="00026AC3"/>
    <w:pPr>
      <w:numPr>
        <w:ilvl w:val="1"/>
      </w:numPr>
    </w:pPr>
    <w:rPr>
      <w:rFonts w:asciiTheme="majorHAnsi" w:eastAsiaTheme="majorEastAsia" w:hAnsiTheme="majorHAnsi" w:cstheme="majorBidi"/>
      <w:color w:val="000000" w:themeColor="accent3"/>
      <w:spacing w:val="15"/>
      <w:sz w:val="36"/>
      <w:szCs w:val="28"/>
    </w:rPr>
  </w:style>
  <w:style w:type="character" w:customStyle="1" w:styleId="SubtitleChar">
    <w:name w:val="Subtitle Char"/>
    <w:basedOn w:val="DefaultParagraphFont"/>
    <w:link w:val="Subtitle"/>
    <w:uiPriority w:val="11"/>
    <w:rsid w:val="00026AC3"/>
    <w:rPr>
      <w:rFonts w:asciiTheme="majorHAnsi" w:eastAsiaTheme="majorEastAsia" w:hAnsiTheme="majorHAnsi" w:cstheme="majorBidi"/>
      <w:color w:val="000000" w:themeColor="accent3"/>
      <w:spacing w:val="15"/>
      <w:sz w:val="36"/>
      <w:szCs w:val="28"/>
    </w:rPr>
  </w:style>
  <w:style w:type="paragraph" w:styleId="Quote">
    <w:name w:val="Quote"/>
    <w:basedOn w:val="Normal"/>
    <w:next w:val="Normal"/>
    <w:link w:val="QuoteChar"/>
    <w:uiPriority w:val="29"/>
    <w:rsid w:val="00026AC3"/>
    <w:pPr>
      <w:spacing w:before="160"/>
      <w:jc w:val="center"/>
    </w:pPr>
    <w:rPr>
      <w:i/>
      <w:iCs/>
      <w:color w:val="1E4D8C" w:themeColor="text1" w:themeTint="BF"/>
    </w:rPr>
  </w:style>
  <w:style w:type="character" w:customStyle="1" w:styleId="QuoteChar">
    <w:name w:val="Quote Char"/>
    <w:basedOn w:val="DefaultParagraphFont"/>
    <w:link w:val="Quote"/>
    <w:uiPriority w:val="29"/>
    <w:rsid w:val="00026AC3"/>
    <w:rPr>
      <w:i/>
      <w:iCs/>
      <w:color w:val="1E4D8C" w:themeColor="text1" w:themeTint="BF"/>
    </w:rPr>
  </w:style>
  <w:style w:type="paragraph" w:styleId="ListParagraph">
    <w:name w:val="List Paragraph"/>
    <w:basedOn w:val="Normal"/>
    <w:uiPriority w:val="34"/>
    <w:qFormat/>
    <w:rsid w:val="00026AC3"/>
    <w:pPr>
      <w:ind w:left="720"/>
      <w:contextualSpacing/>
    </w:pPr>
  </w:style>
  <w:style w:type="character" w:styleId="IntenseEmphasis">
    <w:name w:val="Intense Emphasis"/>
    <w:basedOn w:val="DefaultParagraphFont"/>
    <w:uiPriority w:val="21"/>
    <w:rsid w:val="00026AC3"/>
    <w:rPr>
      <w:i/>
      <w:iCs/>
      <w:color w:val="082A3E" w:themeColor="accent1" w:themeShade="BF"/>
    </w:rPr>
  </w:style>
  <w:style w:type="paragraph" w:styleId="IntenseQuote">
    <w:name w:val="Intense Quote"/>
    <w:basedOn w:val="Normal"/>
    <w:next w:val="Normal"/>
    <w:link w:val="IntenseQuoteChar"/>
    <w:uiPriority w:val="30"/>
    <w:qFormat/>
    <w:rsid w:val="00026AC3"/>
    <w:pPr>
      <w:pBdr>
        <w:top w:val="single" w:sz="4" w:space="10" w:color="082A3E" w:themeColor="accent1" w:themeShade="BF"/>
        <w:bottom w:val="single" w:sz="4" w:space="10" w:color="082A3E" w:themeColor="accent1" w:themeShade="BF"/>
      </w:pBdr>
      <w:spacing w:before="360" w:after="360"/>
      <w:ind w:left="864" w:right="864"/>
      <w:jc w:val="center"/>
    </w:pPr>
    <w:rPr>
      <w:i/>
      <w:iCs/>
      <w:color w:val="0B3954" w:themeColor="accent1"/>
    </w:rPr>
  </w:style>
  <w:style w:type="character" w:customStyle="1" w:styleId="IntenseQuoteChar">
    <w:name w:val="Intense Quote Char"/>
    <w:basedOn w:val="DefaultParagraphFont"/>
    <w:link w:val="IntenseQuote"/>
    <w:uiPriority w:val="30"/>
    <w:rsid w:val="00026AC3"/>
    <w:rPr>
      <w:i/>
      <w:iCs/>
      <w:color w:val="0B3954" w:themeColor="accent1"/>
      <w:sz w:val="20"/>
    </w:rPr>
  </w:style>
  <w:style w:type="character" w:styleId="IntenseReference">
    <w:name w:val="Intense Reference"/>
    <w:basedOn w:val="DefaultParagraphFont"/>
    <w:uiPriority w:val="32"/>
    <w:rsid w:val="00026AC3"/>
    <w:rPr>
      <w:b/>
      <w:bCs/>
      <w:smallCaps/>
      <w:color w:val="082A3E" w:themeColor="accent1" w:themeShade="BF"/>
      <w:spacing w:val="5"/>
    </w:rPr>
  </w:style>
  <w:style w:type="paragraph" w:customStyle="1" w:styleId="Generate">
    <w:name w:val="Generate"/>
    <w:basedOn w:val="Normal"/>
    <w:link w:val="GenerateChar"/>
    <w:rsid w:val="00026AC3"/>
  </w:style>
  <w:style w:type="character" w:customStyle="1" w:styleId="GenerateChar">
    <w:name w:val="Generate Char"/>
    <w:basedOn w:val="DefaultParagraphFont"/>
    <w:link w:val="Generate"/>
    <w:rsid w:val="00026AC3"/>
  </w:style>
  <w:style w:type="paragraph" w:styleId="Header">
    <w:name w:val="header"/>
    <w:basedOn w:val="Normal"/>
    <w:link w:val="HeaderChar"/>
    <w:uiPriority w:val="99"/>
    <w:unhideWhenUsed/>
    <w:rsid w:val="00026A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AC3"/>
  </w:style>
  <w:style w:type="paragraph" w:styleId="Footer">
    <w:name w:val="footer"/>
    <w:basedOn w:val="Normal"/>
    <w:link w:val="FooterChar"/>
    <w:uiPriority w:val="99"/>
    <w:unhideWhenUsed/>
    <w:rsid w:val="00026A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AC3"/>
  </w:style>
  <w:style w:type="paragraph" w:styleId="NoSpacing">
    <w:name w:val="No Spacing"/>
    <w:link w:val="NoSpacingChar"/>
    <w:uiPriority w:val="1"/>
    <w:qFormat/>
    <w:rsid w:val="00026AC3"/>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026AC3"/>
    <w:rPr>
      <w:rFonts w:eastAsiaTheme="minorEastAsia"/>
      <w:lang w:eastAsia="en-GB"/>
    </w:rPr>
  </w:style>
  <w:style w:type="character" w:styleId="PlaceholderText">
    <w:name w:val="Placeholder Text"/>
    <w:basedOn w:val="DefaultParagraphFont"/>
    <w:uiPriority w:val="99"/>
    <w:semiHidden/>
    <w:rsid w:val="006F5D5B"/>
    <w:rPr>
      <w:color w:val="666666"/>
    </w:rPr>
  </w:style>
  <w:style w:type="paragraph" w:customStyle="1" w:styleId="Callout">
    <w:name w:val="Callout"/>
    <w:basedOn w:val="Normal"/>
    <w:link w:val="CalloutChar"/>
    <w:qFormat/>
    <w:rsid w:val="0007440B"/>
    <w:rPr>
      <w:rFonts w:ascii="IBM Plex Sans SemiBold" w:hAnsi="IBM Plex Sans SemiBold"/>
      <w:color w:val="0599AD" w:themeColor="accent2"/>
    </w:rPr>
  </w:style>
  <w:style w:type="character" w:customStyle="1" w:styleId="CalloutChar">
    <w:name w:val="Callout Char"/>
    <w:basedOn w:val="DefaultParagraphFont"/>
    <w:link w:val="Callout"/>
    <w:rsid w:val="0007440B"/>
    <w:rPr>
      <w:rFonts w:ascii="IBM Plex Sans SemiBold" w:hAnsi="IBM Plex Sans SemiBold"/>
      <w:color w:val="0599AD" w:themeColor="accent2"/>
      <w:sz w:val="20"/>
    </w:rPr>
  </w:style>
  <w:style w:type="table" w:styleId="TableGrid">
    <w:name w:val="Table Grid"/>
    <w:basedOn w:val="TableNormal"/>
    <w:uiPriority w:val="39"/>
    <w:rsid w:val="00F028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800" b="0" i="0" u="none" strike="noStrike" kern="1200" cap="none" spc="0" normalizeH="0" baseline="0">
                <a:solidFill>
                  <a:schemeClr val="tx1">
                    <a:lumMod val="65000"/>
                    <a:lumOff val="35000"/>
                  </a:schemeClr>
                </a:solidFill>
                <a:latin typeface="+mj-lt"/>
                <a:ea typeface="+mj-ea"/>
                <a:cs typeface="+mj-cs"/>
              </a:defRPr>
            </a:pPr>
            <a:r>
              <a:rPr lang="en-GB" sz="800">
                <a:solidFill>
                  <a:schemeClr val="accent3"/>
                </a:solidFill>
                <a:latin typeface="+mn-lt"/>
              </a:rPr>
              <a:t>20-Years</a:t>
            </a:r>
            <a:r>
              <a:rPr lang="en-GB" sz="800" baseline="0">
                <a:solidFill>
                  <a:schemeClr val="accent3"/>
                </a:solidFill>
                <a:latin typeface="+mn-lt"/>
              </a:rPr>
              <a:t> of Lloyds </a:t>
            </a:r>
            <a:r>
              <a:rPr lang="en-GB" sz="800" b="0" i="0" u="none" strike="noStrike" kern="1200" cap="none" spc="0" normalizeH="0" baseline="0">
                <a:solidFill>
                  <a:schemeClr val="accent3"/>
                </a:solidFill>
                <a:latin typeface="+mn-lt"/>
                <a:ea typeface="+mj-ea"/>
                <a:cs typeface="+mj-cs"/>
              </a:rPr>
              <a:t>Combined ratios</a:t>
            </a:r>
            <a:endParaRPr lang="en-GB" sz="800">
              <a:solidFill>
                <a:schemeClr val="accent3"/>
              </a:solidFill>
              <a:latin typeface="+mn-lt"/>
            </a:endParaRPr>
          </a:p>
        </c:rich>
      </c:tx>
      <c:overlay val="0"/>
      <c:spPr>
        <a:noFill/>
        <a:ln>
          <a:noFill/>
        </a:ln>
        <a:effectLst/>
      </c:spPr>
      <c:txPr>
        <a:bodyPr rot="0" spcFirstLastPara="1" vertOverflow="ellipsis" vert="horz" wrap="square" anchor="ctr" anchorCtr="1"/>
        <a:lstStyle/>
        <a:p>
          <a:pPr>
            <a:defRPr sz="800" b="0" i="0" u="none" strike="noStrike" kern="1200" cap="none" spc="0" normalizeH="0" baseline="0">
              <a:solidFill>
                <a:schemeClr val="tx1">
                  <a:lumMod val="65000"/>
                  <a:lumOff val="35000"/>
                </a:schemeClr>
              </a:solidFill>
              <a:latin typeface="+mj-lt"/>
              <a:ea typeface="+mj-ea"/>
              <a:cs typeface="+mj-cs"/>
            </a:defRPr>
          </a:pPr>
          <a:endParaRPr lang="en-GB"/>
        </a:p>
      </c:txPr>
    </c:title>
    <c:autoTitleDeleted val="0"/>
    <c:plotArea>
      <c:layout>
        <c:manualLayout>
          <c:layoutTarget val="inner"/>
          <c:xMode val="edge"/>
          <c:yMode val="edge"/>
          <c:x val="7.2904318418251179E-2"/>
          <c:y val="4.406506893118927E-2"/>
          <c:w val="0.86215616797900274"/>
          <c:h val="0.90727332158932561"/>
        </c:manualLayout>
      </c:layout>
      <c:lineChart>
        <c:grouping val="standard"/>
        <c:varyColors val="0"/>
        <c:ser>
          <c:idx val="1"/>
          <c:order val="0"/>
          <c:tx>
            <c:strRef>
              <c:f>Sheet1!$C$1</c:f>
              <c:strCache>
                <c:ptCount val="1"/>
                <c:pt idx="0">
                  <c:v>Lloyds</c:v>
                </c:pt>
              </c:strCache>
            </c:strRef>
          </c:tx>
          <c:spPr>
            <a:ln w="6350" cap="rnd">
              <a:solidFill>
                <a:schemeClr val="tx2"/>
              </a:solidFill>
              <a:prstDash val="dash"/>
              <a:round/>
            </a:ln>
            <a:effectLst/>
          </c:spPr>
          <c:marker>
            <c:symbol val="none"/>
          </c:marker>
          <c:cat>
            <c:numRef>
              <c:f>Sheet1!$A$31:$A$51</c:f>
              <c:numCache>
                <c:formatCode>General</c:formatCode>
                <c:ptCount val="21"/>
                <c:pt idx="0">
                  <c:v>2004</c:v>
                </c:pt>
                <c:pt idx="1">
                  <c:v>2005</c:v>
                </c:pt>
                <c:pt idx="2">
                  <c:v>2006</c:v>
                </c:pt>
                <c:pt idx="3">
                  <c:v>2007</c:v>
                </c:pt>
                <c:pt idx="4">
                  <c:v>2008</c:v>
                </c:pt>
                <c:pt idx="5">
                  <c:v>2009</c:v>
                </c:pt>
                <c:pt idx="6">
                  <c:v>2010</c:v>
                </c:pt>
                <c:pt idx="7">
                  <c:v>2011</c:v>
                </c:pt>
                <c:pt idx="8">
                  <c:v>2012</c:v>
                </c:pt>
                <c:pt idx="9">
                  <c:v>2013</c:v>
                </c:pt>
                <c:pt idx="10">
                  <c:v>2014</c:v>
                </c:pt>
                <c:pt idx="11">
                  <c:v>2015</c:v>
                </c:pt>
                <c:pt idx="12">
                  <c:v>2016</c:v>
                </c:pt>
                <c:pt idx="13">
                  <c:v>2017</c:v>
                </c:pt>
                <c:pt idx="14">
                  <c:v>2018</c:v>
                </c:pt>
                <c:pt idx="15">
                  <c:v>2019</c:v>
                </c:pt>
                <c:pt idx="16">
                  <c:v>2020</c:v>
                </c:pt>
                <c:pt idx="17">
                  <c:v>2021</c:v>
                </c:pt>
                <c:pt idx="18">
                  <c:v>2022</c:v>
                </c:pt>
                <c:pt idx="19">
                  <c:v>2023</c:v>
                </c:pt>
                <c:pt idx="20">
                  <c:v>2024</c:v>
                </c:pt>
              </c:numCache>
            </c:numRef>
          </c:cat>
          <c:val>
            <c:numRef>
              <c:f>Sheet1!$C$31:$C$51</c:f>
              <c:numCache>
                <c:formatCode>General</c:formatCode>
                <c:ptCount val="21"/>
                <c:pt idx="0">
                  <c:v>96.9</c:v>
                </c:pt>
                <c:pt idx="1">
                  <c:v>111.8</c:v>
                </c:pt>
                <c:pt idx="2">
                  <c:v>83.1</c:v>
                </c:pt>
                <c:pt idx="3">
                  <c:v>84</c:v>
                </c:pt>
                <c:pt idx="4">
                  <c:v>91.3</c:v>
                </c:pt>
                <c:pt idx="5">
                  <c:v>86.1</c:v>
                </c:pt>
                <c:pt idx="6">
                  <c:v>93.3</c:v>
                </c:pt>
                <c:pt idx="7">
                  <c:v>106.8</c:v>
                </c:pt>
                <c:pt idx="8">
                  <c:v>91.1</c:v>
                </c:pt>
                <c:pt idx="9">
                  <c:v>86.8</c:v>
                </c:pt>
                <c:pt idx="10">
                  <c:v>88.4</c:v>
                </c:pt>
                <c:pt idx="11">
                  <c:v>90</c:v>
                </c:pt>
                <c:pt idx="12">
                  <c:v>97.9</c:v>
                </c:pt>
                <c:pt idx="13">
                  <c:v>114</c:v>
                </c:pt>
                <c:pt idx="14">
                  <c:v>104.5</c:v>
                </c:pt>
                <c:pt idx="15">
                  <c:v>102.1</c:v>
                </c:pt>
                <c:pt idx="16">
                  <c:v>110.3</c:v>
                </c:pt>
                <c:pt idx="17">
                  <c:v>93.5</c:v>
                </c:pt>
                <c:pt idx="18">
                  <c:v>91.9</c:v>
                </c:pt>
                <c:pt idx="19">
                  <c:v>84</c:v>
                </c:pt>
                <c:pt idx="20">
                  <c:v>86.9</c:v>
                </c:pt>
              </c:numCache>
            </c:numRef>
          </c:val>
          <c:smooth val="0"/>
          <c:extLst>
            <c:ext xmlns:c16="http://schemas.microsoft.com/office/drawing/2014/chart" uri="{C3380CC4-5D6E-409C-BE32-E72D297353CC}">
              <c16:uniqueId val="{00000000-5E59-44E9-9C7B-801CC7B80A81}"/>
            </c:ext>
          </c:extLst>
        </c:ser>
        <c:ser>
          <c:idx val="2"/>
          <c:order val="1"/>
          <c:tx>
            <c:strRef>
              <c:f>Sheet1!$D$1</c:f>
              <c:strCache>
                <c:ptCount val="1"/>
                <c:pt idx="0">
                  <c:v>Reference</c:v>
                </c:pt>
              </c:strCache>
            </c:strRef>
          </c:tx>
          <c:spPr>
            <a:ln w="38100" cap="rnd">
              <a:solidFill>
                <a:schemeClr val="accent5"/>
              </a:solidFill>
              <a:prstDash val="lgDash"/>
              <a:round/>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1-5E59-44E9-9C7B-801CC7B80A81}"/>
                </c:ext>
              </c:extLst>
            </c:dLbl>
            <c:dLbl>
              <c:idx val="1"/>
              <c:delete val="1"/>
              <c:extLst>
                <c:ext xmlns:c15="http://schemas.microsoft.com/office/drawing/2012/chart" uri="{CE6537A1-D6FC-4f65-9D91-7224C49458BB}"/>
                <c:ext xmlns:c16="http://schemas.microsoft.com/office/drawing/2014/chart" uri="{C3380CC4-5D6E-409C-BE32-E72D297353CC}">
                  <c16:uniqueId val="{00000002-5E59-44E9-9C7B-801CC7B80A81}"/>
                </c:ext>
              </c:extLst>
            </c:dLbl>
            <c:dLbl>
              <c:idx val="2"/>
              <c:delete val="1"/>
              <c:extLst>
                <c:ext xmlns:c15="http://schemas.microsoft.com/office/drawing/2012/chart" uri="{CE6537A1-D6FC-4f65-9D91-7224C49458BB}"/>
                <c:ext xmlns:c16="http://schemas.microsoft.com/office/drawing/2014/chart" uri="{C3380CC4-5D6E-409C-BE32-E72D297353CC}">
                  <c16:uniqueId val="{00000003-5E59-44E9-9C7B-801CC7B80A81}"/>
                </c:ext>
              </c:extLst>
            </c:dLbl>
            <c:dLbl>
              <c:idx val="3"/>
              <c:delete val="1"/>
              <c:extLst>
                <c:ext xmlns:c15="http://schemas.microsoft.com/office/drawing/2012/chart" uri="{CE6537A1-D6FC-4f65-9D91-7224C49458BB}"/>
                <c:ext xmlns:c16="http://schemas.microsoft.com/office/drawing/2014/chart" uri="{C3380CC4-5D6E-409C-BE32-E72D297353CC}">
                  <c16:uniqueId val="{00000004-5E59-44E9-9C7B-801CC7B80A81}"/>
                </c:ext>
              </c:extLst>
            </c:dLbl>
            <c:dLbl>
              <c:idx val="4"/>
              <c:delete val="1"/>
              <c:extLst>
                <c:ext xmlns:c15="http://schemas.microsoft.com/office/drawing/2012/chart" uri="{CE6537A1-D6FC-4f65-9D91-7224C49458BB}"/>
                <c:ext xmlns:c16="http://schemas.microsoft.com/office/drawing/2014/chart" uri="{C3380CC4-5D6E-409C-BE32-E72D297353CC}">
                  <c16:uniqueId val="{00000005-5E59-44E9-9C7B-801CC7B80A81}"/>
                </c:ext>
              </c:extLst>
            </c:dLbl>
            <c:dLbl>
              <c:idx val="5"/>
              <c:delete val="1"/>
              <c:extLst>
                <c:ext xmlns:c15="http://schemas.microsoft.com/office/drawing/2012/chart" uri="{CE6537A1-D6FC-4f65-9D91-7224C49458BB}"/>
                <c:ext xmlns:c16="http://schemas.microsoft.com/office/drawing/2014/chart" uri="{C3380CC4-5D6E-409C-BE32-E72D297353CC}">
                  <c16:uniqueId val="{00000006-5E59-44E9-9C7B-801CC7B80A81}"/>
                </c:ext>
              </c:extLst>
            </c:dLbl>
            <c:dLbl>
              <c:idx val="6"/>
              <c:delete val="1"/>
              <c:extLst>
                <c:ext xmlns:c15="http://schemas.microsoft.com/office/drawing/2012/chart" uri="{CE6537A1-D6FC-4f65-9D91-7224C49458BB}"/>
                <c:ext xmlns:c16="http://schemas.microsoft.com/office/drawing/2014/chart" uri="{C3380CC4-5D6E-409C-BE32-E72D297353CC}">
                  <c16:uniqueId val="{00000007-5E59-44E9-9C7B-801CC7B80A81}"/>
                </c:ext>
              </c:extLst>
            </c:dLbl>
            <c:dLbl>
              <c:idx val="7"/>
              <c:delete val="1"/>
              <c:extLst>
                <c:ext xmlns:c15="http://schemas.microsoft.com/office/drawing/2012/chart" uri="{CE6537A1-D6FC-4f65-9D91-7224C49458BB}"/>
                <c:ext xmlns:c16="http://schemas.microsoft.com/office/drawing/2014/chart" uri="{C3380CC4-5D6E-409C-BE32-E72D297353CC}">
                  <c16:uniqueId val="{00000008-5E59-44E9-9C7B-801CC7B80A81}"/>
                </c:ext>
              </c:extLst>
            </c:dLbl>
            <c:dLbl>
              <c:idx val="8"/>
              <c:delete val="1"/>
              <c:extLst>
                <c:ext xmlns:c15="http://schemas.microsoft.com/office/drawing/2012/chart" uri="{CE6537A1-D6FC-4f65-9D91-7224C49458BB}"/>
                <c:ext xmlns:c16="http://schemas.microsoft.com/office/drawing/2014/chart" uri="{C3380CC4-5D6E-409C-BE32-E72D297353CC}">
                  <c16:uniqueId val="{00000009-5E59-44E9-9C7B-801CC7B80A81}"/>
                </c:ext>
              </c:extLst>
            </c:dLbl>
            <c:dLbl>
              <c:idx val="9"/>
              <c:delete val="1"/>
              <c:extLst>
                <c:ext xmlns:c15="http://schemas.microsoft.com/office/drawing/2012/chart" uri="{CE6537A1-D6FC-4f65-9D91-7224C49458BB}"/>
                <c:ext xmlns:c16="http://schemas.microsoft.com/office/drawing/2014/chart" uri="{C3380CC4-5D6E-409C-BE32-E72D297353CC}">
                  <c16:uniqueId val="{0000000A-5E59-44E9-9C7B-801CC7B80A81}"/>
                </c:ext>
              </c:extLst>
            </c:dLbl>
            <c:dLbl>
              <c:idx val="10"/>
              <c:delete val="1"/>
              <c:extLst>
                <c:ext xmlns:c15="http://schemas.microsoft.com/office/drawing/2012/chart" uri="{CE6537A1-D6FC-4f65-9D91-7224C49458BB}"/>
                <c:ext xmlns:c16="http://schemas.microsoft.com/office/drawing/2014/chart" uri="{C3380CC4-5D6E-409C-BE32-E72D297353CC}">
                  <c16:uniqueId val="{0000000B-5E59-44E9-9C7B-801CC7B80A81}"/>
                </c:ext>
              </c:extLst>
            </c:dLbl>
            <c:dLbl>
              <c:idx val="11"/>
              <c:delete val="1"/>
              <c:extLst>
                <c:ext xmlns:c15="http://schemas.microsoft.com/office/drawing/2012/chart" uri="{CE6537A1-D6FC-4f65-9D91-7224C49458BB}"/>
                <c:ext xmlns:c16="http://schemas.microsoft.com/office/drawing/2014/chart" uri="{C3380CC4-5D6E-409C-BE32-E72D297353CC}">
                  <c16:uniqueId val="{0000000C-5E59-44E9-9C7B-801CC7B80A81}"/>
                </c:ext>
              </c:extLst>
            </c:dLbl>
            <c:dLbl>
              <c:idx val="12"/>
              <c:delete val="1"/>
              <c:extLst>
                <c:ext xmlns:c15="http://schemas.microsoft.com/office/drawing/2012/chart" uri="{CE6537A1-D6FC-4f65-9D91-7224C49458BB}"/>
                <c:ext xmlns:c16="http://schemas.microsoft.com/office/drawing/2014/chart" uri="{C3380CC4-5D6E-409C-BE32-E72D297353CC}">
                  <c16:uniqueId val="{0000000D-5E59-44E9-9C7B-801CC7B80A81}"/>
                </c:ext>
              </c:extLst>
            </c:dLbl>
            <c:dLbl>
              <c:idx val="13"/>
              <c:delete val="1"/>
              <c:extLst>
                <c:ext xmlns:c15="http://schemas.microsoft.com/office/drawing/2012/chart" uri="{CE6537A1-D6FC-4f65-9D91-7224C49458BB}"/>
                <c:ext xmlns:c16="http://schemas.microsoft.com/office/drawing/2014/chart" uri="{C3380CC4-5D6E-409C-BE32-E72D297353CC}">
                  <c16:uniqueId val="{0000000E-5E59-44E9-9C7B-801CC7B80A81}"/>
                </c:ext>
              </c:extLst>
            </c:dLbl>
            <c:dLbl>
              <c:idx val="14"/>
              <c:delete val="1"/>
              <c:extLst>
                <c:ext xmlns:c15="http://schemas.microsoft.com/office/drawing/2012/chart" uri="{CE6537A1-D6FC-4f65-9D91-7224C49458BB}"/>
                <c:ext xmlns:c16="http://schemas.microsoft.com/office/drawing/2014/chart" uri="{C3380CC4-5D6E-409C-BE32-E72D297353CC}">
                  <c16:uniqueId val="{0000000F-5E59-44E9-9C7B-801CC7B80A81}"/>
                </c:ext>
              </c:extLst>
            </c:dLbl>
            <c:dLbl>
              <c:idx val="15"/>
              <c:delete val="1"/>
              <c:extLst>
                <c:ext xmlns:c15="http://schemas.microsoft.com/office/drawing/2012/chart" uri="{CE6537A1-D6FC-4f65-9D91-7224C49458BB}"/>
                <c:ext xmlns:c16="http://schemas.microsoft.com/office/drawing/2014/chart" uri="{C3380CC4-5D6E-409C-BE32-E72D297353CC}">
                  <c16:uniqueId val="{00000010-5E59-44E9-9C7B-801CC7B80A81}"/>
                </c:ext>
              </c:extLst>
            </c:dLbl>
            <c:dLbl>
              <c:idx val="16"/>
              <c:delete val="1"/>
              <c:extLst>
                <c:ext xmlns:c15="http://schemas.microsoft.com/office/drawing/2012/chart" uri="{CE6537A1-D6FC-4f65-9D91-7224C49458BB}"/>
                <c:ext xmlns:c16="http://schemas.microsoft.com/office/drawing/2014/chart" uri="{C3380CC4-5D6E-409C-BE32-E72D297353CC}">
                  <c16:uniqueId val="{00000011-5E59-44E9-9C7B-801CC7B80A81}"/>
                </c:ext>
              </c:extLst>
            </c:dLbl>
            <c:dLbl>
              <c:idx val="17"/>
              <c:delete val="1"/>
              <c:extLst>
                <c:ext xmlns:c15="http://schemas.microsoft.com/office/drawing/2012/chart" uri="{CE6537A1-D6FC-4f65-9D91-7224C49458BB}"/>
                <c:ext xmlns:c16="http://schemas.microsoft.com/office/drawing/2014/chart" uri="{C3380CC4-5D6E-409C-BE32-E72D297353CC}">
                  <c16:uniqueId val="{00000012-5E59-44E9-9C7B-801CC7B80A81}"/>
                </c:ext>
              </c:extLst>
            </c:dLbl>
            <c:dLbl>
              <c:idx val="18"/>
              <c:delete val="1"/>
              <c:extLst>
                <c:ext xmlns:c15="http://schemas.microsoft.com/office/drawing/2012/chart" uri="{CE6537A1-D6FC-4f65-9D91-7224C49458BB}"/>
                <c:ext xmlns:c16="http://schemas.microsoft.com/office/drawing/2014/chart" uri="{C3380CC4-5D6E-409C-BE32-E72D297353CC}">
                  <c16:uniqueId val="{00000013-5E59-44E9-9C7B-801CC7B80A81}"/>
                </c:ext>
              </c:extLst>
            </c:dLbl>
            <c:dLbl>
              <c:idx val="19"/>
              <c:layout>
                <c:manualLayout>
                  <c:x val="-1.826964499893298E-2"/>
                  <c:y val="-6.0163788978724757E-2"/>
                </c:manualLayout>
              </c:layout>
              <c:tx>
                <c:rich>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r>
                      <a:rPr lang="en-US" sz="800" dirty="0">
                        <a:solidFill>
                          <a:schemeClr val="accent3"/>
                        </a:solidFill>
                      </a:rPr>
                      <a:t>Break-even</a:t>
                    </a:r>
                  </a:p>
                </c:rich>
              </c:tx>
              <c:spPr>
                <a:solidFill>
                  <a:schemeClr val="bg1"/>
                </a:solidFill>
                <a:ln>
                  <a:noFill/>
                </a:ln>
                <a:effectLst/>
              </c:spPr>
              <c:txPr>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endParaRPr lang="en-US"/>
                </a:p>
              </c:txPr>
              <c:dLblPos val="r"/>
              <c:showLegendKey val="0"/>
              <c:showVal val="0"/>
              <c:showCatName val="0"/>
              <c:showSerName val="1"/>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5E59-44E9-9C7B-801CC7B80A81}"/>
                </c:ext>
              </c:extLst>
            </c:dLbl>
            <c:dLbl>
              <c:idx val="20"/>
              <c:delete val="1"/>
              <c:extLst>
                <c:ext xmlns:c15="http://schemas.microsoft.com/office/drawing/2012/chart" uri="{CE6537A1-D6FC-4f65-9D91-7224C49458BB}"/>
                <c:ext xmlns:c16="http://schemas.microsoft.com/office/drawing/2014/chart" uri="{C3380CC4-5D6E-409C-BE32-E72D297353CC}">
                  <c16:uniqueId val="{00000015-5E59-44E9-9C7B-801CC7B80A81}"/>
                </c:ext>
              </c:extLst>
            </c:dLbl>
            <c:spPr>
              <a:noFill/>
              <a:ln>
                <a:noFill/>
              </a:ln>
              <a:effectLst/>
            </c:spPr>
            <c:txPr>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endParaRPr lang="en-US"/>
              </a:p>
            </c:txPr>
            <c:dLblPos val="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cat>
            <c:numRef>
              <c:f>Sheet1!$A$31:$A$51</c:f>
              <c:numCache>
                <c:formatCode>General</c:formatCode>
                <c:ptCount val="21"/>
                <c:pt idx="0">
                  <c:v>2004</c:v>
                </c:pt>
                <c:pt idx="1">
                  <c:v>2005</c:v>
                </c:pt>
                <c:pt idx="2">
                  <c:v>2006</c:v>
                </c:pt>
                <c:pt idx="3">
                  <c:v>2007</c:v>
                </c:pt>
                <c:pt idx="4">
                  <c:v>2008</c:v>
                </c:pt>
                <c:pt idx="5">
                  <c:v>2009</c:v>
                </c:pt>
                <c:pt idx="6">
                  <c:v>2010</c:v>
                </c:pt>
                <c:pt idx="7">
                  <c:v>2011</c:v>
                </c:pt>
                <c:pt idx="8">
                  <c:v>2012</c:v>
                </c:pt>
                <c:pt idx="9">
                  <c:v>2013</c:v>
                </c:pt>
                <c:pt idx="10">
                  <c:v>2014</c:v>
                </c:pt>
                <c:pt idx="11">
                  <c:v>2015</c:v>
                </c:pt>
                <c:pt idx="12">
                  <c:v>2016</c:v>
                </c:pt>
                <c:pt idx="13">
                  <c:v>2017</c:v>
                </c:pt>
                <c:pt idx="14">
                  <c:v>2018</c:v>
                </c:pt>
                <c:pt idx="15">
                  <c:v>2019</c:v>
                </c:pt>
                <c:pt idx="16">
                  <c:v>2020</c:v>
                </c:pt>
                <c:pt idx="17">
                  <c:v>2021</c:v>
                </c:pt>
                <c:pt idx="18">
                  <c:v>2022</c:v>
                </c:pt>
                <c:pt idx="19">
                  <c:v>2023</c:v>
                </c:pt>
                <c:pt idx="20">
                  <c:v>2024</c:v>
                </c:pt>
              </c:numCache>
            </c:numRef>
          </c:cat>
          <c:val>
            <c:numRef>
              <c:f>Sheet1!$D$31:$D$51</c:f>
              <c:numCache>
                <c:formatCode>General</c:formatCode>
                <c:ptCount val="21"/>
                <c:pt idx="0">
                  <c:v>100</c:v>
                </c:pt>
                <c:pt idx="1">
                  <c:v>100</c:v>
                </c:pt>
                <c:pt idx="2">
                  <c:v>100</c:v>
                </c:pt>
                <c:pt idx="3">
                  <c:v>100</c:v>
                </c:pt>
                <c:pt idx="4">
                  <c:v>100</c:v>
                </c:pt>
                <c:pt idx="5">
                  <c:v>100</c:v>
                </c:pt>
                <c:pt idx="6">
                  <c:v>100</c:v>
                </c:pt>
                <c:pt idx="7">
                  <c:v>100</c:v>
                </c:pt>
                <c:pt idx="8">
                  <c:v>100</c:v>
                </c:pt>
                <c:pt idx="9">
                  <c:v>100</c:v>
                </c:pt>
                <c:pt idx="10">
                  <c:v>100</c:v>
                </c:pt>
                <c:pt idx="11">
                  <c:v>100</c:v>
                </c:pt>
                <c:pt idx="12">
                  <c:v>100</c:v>
                </c:pt>
                <c:pt idx="13">
                  <c:v>100</c:v>
                </c:pt>
                <c:pt idx="14">
                  <c:v>100</c:v>
                </c:pt>
                <c:pt idx="15">
                  <c:v>100</c:v>
                </c:pt>
                <c:pt idx="16">
                  <c:v>100</c:v>
                </c:pt>
                <c:pt idx="17">
                  <c:v>100</c:v>
                </c:pt>
                <c:pt idx="18">
                  <c:v>100</c:v>
                </c:pt>
                <c:pt idx="19">
                  <c:v>100</c:v>
                </c:pt>
                <c:pt idx="20">
                  <c:v>100</c:v>
                </c:pt>
              </c:numCache>
            </c:numRef>
          </c:val>
          <c:smooth val="0"/>
          <c:extLst>
            <c:ext xmlns:c16="http://schemas.microsoft.com/office/drawing/2014/chart" uri="{C3380CC4-5D6E-409C-BE32-E72D297353CC}">
              <c16:uniqueId val="{00000016-5E59-44E9-9C7B-801CC7B80A81}"/>
            </c:ext>
          </c:extLst>
        </c:ser>
        <c:ser>
          <c:idx val="5"/>
          <c:order val="2"/>
          <c:tx>
            <c:strRef>
              <c:f>Sheet1!$G$1</c:f>
              <c:strCache>
                <c:ptCount val="1"/>
                <c:pt idx="0">
                  <c:v>10 Year Average</c:v>
                </c:pt>
              </c:strCache>
            </c:strRef>
          </c:tx>
          <c:spPr>
            <a:ln w="38100" cap="rnd">
              <a:solidFill>
                <a:schemeClr val="tx2"/>
              </a:solidFill>
              <a:round/>
            </a:ln>
            <a:effectLst/>
          </c:spPr>
          <c:marker>
            <c:symbol val="none"/>
          </c:marker>
          <c:dLbls>
            <c:dLbl>
              <c:idx val="20"/>
              <c:layout>
                <c:manualLayout>
                  <c:x val="-2.7317844686653336E-2"/>
                  <c:y val="0.10927717301139626"/>
                </c:manualLayout>
              </c:layout>
              <c:tx>
                <c:rich>
                  <a:bodyPr rot="0" spcFirstLastPara="1" vertOverflow="ellipsis" vert="horz" wrap="square" lIns="38100" tIns="19050" rIns="38100" bIns="19050" anchor="ctr" anchorCtr="1">
                    <a:noAutofit/>
                  </a:bodyPr>
                  <a:lstStyle/>
                  <a:p>
                    <a:pPr>
                      <a:defRPr sz="800" b="0" i="0" u="none" strike="noStrike" kern="1200" baseline="0">
                        <a:solidFill>
                          <a:schemeClr val="accent3"/>
                        </a:solidFill>
                        <a:latin typeface="+mn-lt"/>
                        <a:ea typeface="+mn-ea"/>
                        <a:cs typeface="+mn-cs"/>
                      </a:defRPr>
                    </a:pPr>
                    <a:r>
                      <a:rPr lang="en-US" sz="800" dirty="0">
                        <a:solidFill>
                          <a:schemeClr val="accent3"/>
                        </a:solidFill>
                      </a:rPr>
                      <a:t>10 Year Average = </a:t>
                    </a:r>
                    <a:fld id="{D3BC530D-92C3-451A-8D55-69F6F9696F0D}" type="VALUE">
                      <a:rPr lang="en-US" sz="800" smtClean="0">
                        <a:solidFill>
                          <a:schemeClr val="accent3"/>
                        </a:solidFill>
                      </a:rPr>
                      <a:pPr>
                        <a:defRPr sz="800">
                          <a:solidFill>
                            <a:schemeClr val="accent3"/>
                          </a:solidFill>
                        </a:defRPr>
                      </a:pPr>
                      <a:t>[VALUE]</a:t>
                    </a:fld>
                    <a:endParaRPr lang="en-US" sz="800" dirty="0">
                      <a:solidFill>
                        <a:schemeClr val="accent3"/>
                      </a:solidFill>
                    </a:endParaRPr>
                  </a:p>
                </c:rich>
              </c:tx>
              <c:spPr>
                <a:solidFill>
                  <a:schemeClr val="bg1"/>
                </a:solidFill>
                <a:ln>
                  <a:noFill/>
                </a:ln>
                <a:effectLst/>
              </c:spPr>
              <c:txPr>
                <a:bodyPr rot="0" spcFirstLastPara="1" vertOverflow="ellipsis" vert="horz" wrap="square" lIns="38100" tIns="19050" rIns="38100" bIns="19050" anchor="ctr" anchorCtr="1">
                  <a:noAutofit/>
                </a:bodyPr>
                <a:lstStyle/>
                <a:p>
                  <a:pPr>
                    <a:defRPr sz="800" b="0" i="0" u="none" strike="noStrike" kern="1200" baseline="0">
                      <a:solidFill>
                        <a:schemeClr val="accent3"/>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15:layout>
                    <c:manualLayout>
                      <c:w val="0.26316660007572173"/>
                      <c:h val="0.13776337115072934"/>
                    </c:manualLayout>
                  </c15:layout>
                  <c15:dlblFieldTable/>
                  <c15:showDataLabelsRange val="0"/>
                </c:ext>
                <c:ext xmlns:c16="http://schemas.microsoft.com/office/drawing/2014/chart" uri="{C3380CC4-5D6E-409C-BE32-E72D297353CC}">
                  <c16:uniqueId val="{00000017-5E59-44E9-9C7B-801CC7B80A81}"/>
                </c:ext>
              </c:extLst>
            </c:dLbl>
            <c:spPr>
              <a:noFill/>
              <a:ln>
                <a:noFill/>
              </a:ln>
              <a:effectLst/>
            </c:spPr>
            <c:txPr>
              <a:bodyPr rot="0" spcFirstLastPara="1" vertOverflow="ellipsis" vert="horz" wrap="square" lIns="38100" tIns="19050" rIns="38100" bIns="19050" anchor="ctr" anchorCtr="1">
                <a:spAutoFit/>
              </a:bodyPr>
              <a:lstStyle/>
              <a:p>
                <a:pPr>
                  <a:defRPr sz="800" b="0" i="0" u="none" strike="noStrike" kern="1200" baseline="0">
                    <a:solidFill>
                      <a:schemeClr val="accent3"/>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howLeaderLines val="0"/>
              </c:ext>
            </c:extLst>
          </c:dLbls>
          <c:cat>
            <c:numRef>
              <c:f>Sheet1!$A$31:$A$51</c:f>
              <c:numCache>
                <c:formatCode>General</c:formatCode>
                <c:ptCount val="21"/>
                <c:pt idx="0">
                  <c:v>2004</c:v>
                </c:pt>
                <c:pt idx="1">
                  <c:v>2005</c:v>
                </c:pt>
                <c:pt idx="2">
                  <c:v>2006</c:v>
                </c:pt>
                <c:pt idx="3">
                  <c:v>2007</c:v>
                </c:pt>
                <c:pt idx="4">
                  <c:v>2008</c:v>
                </c:pt>
                <c:pt idx="5">
                  <c:v>2009</c:v>
                </c:pt>
                <c:pt idx="6">
                  <c:v>2010</c:v>
                </c:pt>
                <c:pt idx="7">
                  <c:v>2011</c:v>
                </c:pt>
                <c:pt idx="8">
                  <c:v>2012</c:v>
                </c:pt>
                <c:pt idx="9">
                  <c:v>2013</c:v>
                </c:pt>
                <c:pt idx="10">
                  <c:v>2014</c:v>
                </c:pt>
                <c:pt idx="11">
                  <c:v>2015</c:v>
                </c:pt>
                <c:pt idx="12">
                  <c:v>2016</c:v>
                </c:pt>
                <c:pt idx="13">
                  <c:v>2017</c:v>
                </c:pt>
                <c:pt idx="14">
                  <c:v>2018</c:v>
                </c:pt>
                <c:pt idx="15">
                  <c:v>2019</c:v>
                </c:pt>
                <c:pt idx="16">
                  <c:v>2020</c:v>
                </c:pt>
                <c:pt idx="17">
                  <c:v>2021</c:v>
                </c:pt>
                <c:pt idx="18">
                  <c:v>2022</c:v>
                </c:pt>
                <c:pt idx="19">
                  <c:v>2023</c:v>
                </c:pt>
                <c:pt idx="20">
                  <c:v>2024</c:v>
                </c:pt>
              </c:numCache>
            </c:numRef>
          </c:cat>
          <c:val>
            <c:numRef>
              <c:f>Sheet1!$G$31:$G$51</c:f>
              <c:numCache>
                <c:formatCode>General</c:formatCode>
                <c:ptCount val="21"/>
                <c:pt idx="11">
                  <c:v>97.509999999999991</c:v>
                </c:pt>
                <c:pt idx="12">
                  <c:v>97.509999999999991</c:v>
                </c:pt>
                <c:pt idx="13">
                  <c:v>97.509999999999991</c:v>
                </c:pt>
                <c:pt idx="14">
                  <c:v>97.509999999999991</c:v>
                </c:pt>
                <c:pt idx="15">
                  <c:v>97.509999999999991</c:v>
                </c:pt>
                <c:pt idx="16">
                  <c:v>97.509999999999991</c:v>
                </c:pt>
                <c:pt idx="17">
                  <c:v>97.509999999999991</c:v>
                </c:pt>
                <c:pt idx="18">
                  <c:v>97.509999999999991</c:v>
                </c:pt>
                <c:pt idx="19">
                  <c:v>97.509999999999991</c:v>
                </c:pt>
                <c:pt idx="20">
                  <c:v>97.509999999999991</c:v>
                </c:pt>
              </c:numCache>
            </c:numRef>
          </c:val>
          <c:smooth val="0"/>
          <c:extLst>
            <c:ext xmlns:c16="http://schemas.microsoft.com/office/drawing/2014/chart" uri="{C3380CC4-5D6E-409C-BE32-E72D297353CC}">
              <c16:uniqueId val="{00000018-5E59-44E9-9C7B-801CC7B80A81}"/>
            </c:ext>
          </c:extLst>
        </c:ser>
        <c:dLbls>
          <c:showLegendKey val="0"/>
          <c:showVal val="0"/>
          <c:showCatName val="0"/>
          <c:showSerName val="0"/>
          <c:showPercent val="0"/>
          <c:showBubbleSize val="0"/>
        </c:dLbls>
        <c:smooth val="0"/>
        <c:axId val="742606240"/>
        <c:axId val="742612480"/>
      </c:lineChart>
      <c:catAx>
        <c:axId val="742606240"/>
        <c:scaling>
          <c:orientation val="minMax"/>
        </c:scaling>
        <c:delete val="1"/>
        <c:axPos val="b"/>
        <c:numFmt formatCode="General" sourceLinked="1"/>
        <c:majorTickMark val="none"/>
        <c:minorTickMark val="none"/>
        <c:tickLblPos val="nextTo"/>
        <c:crossAx val="742612480"/>
        <c:crosses val="autoZero"/>
        <c:auto val="1"/>
        <c:lblAlgn val="ctr"/>
        <c:lblOffset val="100"/>
        <c:tickLblSkip val="4"/>
        <c:noMultiLvlLbl val="0"/>
      </c:catAx>
      <c:valAx>
        <c:axId val="742612480"/>
        <c:scaling>
          <c:orientation val="minMax"/>
          <c:max val="130"/>
          <c:min val="80"/>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accent3"/>
                </a:solidFill>
                <a:latin typeface="+mn-lt"/>
                <a:ea typeface="+mn-ea"/>
                <a:cs typeface="+mn-cs"/>
              </a:defRPr>
            </a:pPr>
            <a:endParaRPr lang="en-US"/>
          </a:p>
        </c:txPr>
        <c:crossAx val="742606240"/>
        <c:crosses val="autoZero"/>
        <c:crossBetween val="between"/>
        <c:majorUnit val="20"/>
        <c:minorUnit val="10"/>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1197"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1197"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1197"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2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2BC19882034A1F9989DF526376C839"/>
        <w:category>
          <w:name w:val="General"/>
          <w:gallery w:val="placeholder"/>
        </w:category>
        <w:types>
          <w:type w:val="bbPlcHdr"/>
        </w:types>
        <w:behaviors>
          <w:behavior w:val="content"/>
        </w:behaviors>
        <w:guid w:val="{DA87A190-5D09-4FB5-A27E-4DD990D538DD}"/>
      </w:docPartPr>
      <w:docPartBody>
        <w:p w:rsidR="00CD03B5" w:rsidRDefault="002E08E7">
          <w:r w:rsidRPr="00612B47">
            <w:rPr>
              <w:rStyle w:val="PlaceholderText"/>
            </w:rPr>
            <w:t>[Title]</w:t>
          </w:r>
        </w:p>
      </w:docPartBody>
    </w:docPart>
    <w:docPart>
      <w:docPartPr>
        <w:name w:val="390659AA61A84F19B7072A6CAE5DC740"/>
        <w:category>
          <w:name w:val="General"/>
          <w:gallery w:val="placeholder"/>
        </w:category>
        <w:types>
          <w:type w:val="bbPlcHdr"/>
        </w:types>
        <w:behaviors>
          <w:behavior w:val="content"/>
        </w:behaviors>
        <w:guid w:val="{98878C8D-EDA8-4740-8AC1-5A55B873C3C2}"/>
      </w:docPartPr>
      <w:docPartBody>
        <w:p w:rsidR="00CD03B5" w:rsidRDefault="002E08E7">
          <w:r w:rsidRPr="00612B47">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IBM Plex Sans">
    <w:panose1 w:val="020B0503050203000203"/>
    <w:charset w:val="00"/>
    <w:family w:val="swiss"/>
    <w:pitch w:val="variable"/>
    <w:sig w:usb0="A00002EF" w:usb1="5000203B" w:usb2="00000000" w:usb3="00000000" w:csb0="0000019F" w:csb1="00000000"/>
  </w:font>
  <w:font w:name="Inter">
    <w:panose1 w:val="02000503000000020004"/>
    <w:charset w:val="00"/>
    <w:family w:val="auto"/>
    <w:pitch w:val="variable"/>
    <w:sig w:usb0="E00002FF" w:usb1="1200A1FF" w:usb2="00000000" w:usb3="00000000" w:csb0="0000019F" w:csb1="00000000"/>
  </w:font>
  <w:font w:name="Inter ExtraBold">
    <w:panose1 w:val="02000503000000020004"/>
    <w:charset w:val="00"/>
    <w:family w:val="auto"/>
    <w:pitch w:val="variable"/>
    <w:sig w:usb0="E00002FF" w:usb1="1200A1FF" w:usb2="00000000" w:usb3="00000000" w:csb0="0000019F" w:csb1="00000000"/>
  </w:font>
  <w:font w:name="IBM Plex Sans SemiBold">
    <w:panose1 w:val="020B0503050203000203"/>
    <w:charset w:val="00"/>
    <w:family w:val="swiss"/>
    <w:pitch w:val="variable"/>
    <w:sig w:usb0="A00002EF" w:usb1="5000203B" w:usb2="00000000" w:usb3="00000000" w:csb0="0000019F" w:csb1="00000000"/>
  </w:font>
  <w:font w:name="IBM Plex Sans Light">
    <w:panose1 w:val="020B0503050203000203"/>
    <w:charset w:val="00"/>
    <w:family w:val="swiss"/>
    <w:pitch w:val="variable"/>
    <w:sig w:usb0="A00002EF" w:usb1="5000203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IBM Plex Sans Medium">
    <w:panose1 w:val="020B0503050203000203"/>
    <w:charset w:val="00"/>
    <w:family w:val="swiss"/>
    <w:pitch w:val="variable"/>
    <w:sig w:usb0="A00002EF" w:usb1="5000203B"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8E7"/>
    <w:rsid w:val="002E08E7"/>
    <w:rsid w:val="004A6260"/>
    <w:rsid w:val="008D3614"/>
    <w:rsid w:val="00927FAB"/>
    <w:rsid w:val="00CD03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E08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enerate_Pallete">
      <a:dk1>
        <a:srgbClr val="0A1A2F"/>
      </a:dk1>
      <a:lt1>
        <a:srgbClr val="FFFFFF"/>
      </a:lt1>
      <a:dk2>
        <a:srgbClr val="0A1A2F"/>
      </a:dk2>
      <a:lt2>
        <a:srgbClr val="E8E3DA"/>
      </a:lt2>
      <a:accent1>
        <a:srgbClr val="0B3954"/>
      </a:accent1>
      <a:accent2>
        <a:srgbClr val="0599AD"/>
      </a:accent2>
      <a:accent3>
        <a:srgbClr val="000000"/>
      </a:accent3>
      <a:accent4>
        <a:srgbClr val="E8E3DA"/>
      </a:accent4>
      <a:accent5>
        <a:srgbClr val="7A766F"/>
      </a:accent5>
      <a:accent6>
        <a:srgbClr val="39D3BA"/>
      </a:accent6>
      <a:hlink>
        <a:srgbClr val="467886"/>
      </a:hlink>
      <a:folHlink>
        <a:srgbClr val="70485D"/>
      </a:folHlink>
    </a:clrScheme>
    <a:fontScheme name="Generate_Fonts">
      <a:majorFont>
        <a:latin typeface="Inter"/>
        <a:ea typeface=""/>
        <a:cs typeface=""/>
      </a:majorFont>
      <a:minorFont>
        <a:latin typeface="IBM Plex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CFCD-5D45-413C-BFAA-E9673E250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12</Pages>
  <Words>2714</Words>
  <Characters>19190</Characters>
  <Application>Microsoft Office Word</Application>
  <DocSecurity>0</DocSecurity>
  <Lines>2741</Lines>
  <Paragraphs>1095</Paragraphs>
  <ScaleCrop>false</ScaleCrop>
  <HeadingPairs>
    <vt:vector size="2" baseType="variant">
      <vt:variant>
        <vt:lpstr>Title</vt:lpstr>
      </vt:variant>
      <vt:variant>
        <vt:i4>1</vt:i4>
      </vt:variant>
    </vt:vector>
  </HeadingPairs>
  <TitlesOfParts>
    <vt:vector size="1" baseType="lpstr">
      <vt:lpstr>Digital Signal Intelligence</vt:lpstr>
    </vt:vector>
  </TitlesOfParts>
  <Company/>
  <LinksUpToDate>false</LinksUpToDate>
  <CharactersWithSpaces>20809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Signal Intelligence</dc:title>
  <dc:subject>White paper</dc:subject>
  <dc:creator>John Walker</dc:creator>
  <cp:keywords/>
  <dc:description/>
  <cp:lastModifiedBy>John Walker</cp:lastModifiedBy>
  <cp:revision>23</cp:revision>
  <cp:lastPrinted>2026-01-08T12:13:00Z</cp:lastPrinted>
  <dcterms:created xsi:type="dcterms:W3CDTF">2026-01-09T11:28:00Z</dcterms:created>
  <dcterms:modified xsi:type="dcterms:W3CDTF">2026-01-09T11:49:00Z</dcterms:modified>
</cp:coreProperties>
</file>