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FC2AD" w14:textId="77777777" w:rsidR="00466415" w:rsidRPr="00C974DA" w:rsidRDefault="00466415" w:rsidP="00466415">
      <w:pPr>
        <w:rPr>
          <w:rFonts w:ascii="Cambria" w:hAnsi="Cambria"/>
          <w:b/>
          <w:bCs/>
          <w:sz w:val="28"/>
          <w:szCs w:val="28"/>
        </w:rPr>
      </w:pPr>
      <w:r w:rsidRPr="00C974DA">
        <w:rPr>
          <w:rFonts w:ascii="Cambria" w:hAnsi="Cambria"/>
          <w:b/>
          <w:bCs/>
          <w:sz w:val="28"/>
          <w:szCs w:val="28"/>
        </w:rPr>
        <w:t>Glossary of Terms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55"/>
        <w:gridCol w:w="7195"/>
      </w:tblGrid>
      <w:tr w:rsidR="00466415" w:rsidRPr="00C974DA" w14:paraId="3C70B5B1" w14:textId="77777777" w:rsidTr="00C974DA">
        <w:tc>
          <w:tcPr>
            <w:tcW w:w="2155" w:type="dxa"/>
          </w:tcPr>
          <w:p w14:paraId="539C2796" w14:textId="77777777" w:rsidR="00466415" w:rsidRPr="00C974DA" w:rsidRDefault="00466415" w:rsidP="00DC4A4A">
            <w:pPr>
              <w:spacing w:before="120" w:after="120"/>
              <w:rPr>
                <w:rFonts w:ascii="Cambria" w:hAnsi="Cambria"/>
                <w:b/>
                <w:bCs/>
              </w:rPr>
            </w:pPr>
            <w:r w:rsidRPr="00C974DA">
              <w:rPr>
                <w:rFonts w:ascii="Cambria" w:hAnsi="Cambria"/>
                <w:b/>
                <w:bCs/>
              </w:rPr>
              <w:t>Term</w:t>
            </w:r>
          </w:p>
        </w:tc>
        <w:tc>
          <w:tcPr>
            <w:tcW w:w="7195" w:type="dxa"/>
          </w:tcPr>
          <w:p w14:paraId="28A77CEF" w14:textId="77777777" w:rsidR="00466415" w:rsidRPr="00C974DA" w:rsidRDefault="00466415" w:rsidP="00DC4A4A">
            <w:pPr>
              <w:spacing w:before="120" w:after="120"/>
              <w:rPr>
                <w:rFonts w:ascii="Cambria" w:hAnsi="Cambria"/>
                <w:b/>
                <w:bCs/>
              </w:rPr>
            </w:pPr>
            <w:r w:rsidRPr="00C974DA">
              <w:rPr>
                <w:rFonts w:ascii="Cambria" w:hAnsi="Cambria"/>
                <w:b/>
                <w:bCs/>
              </w:rPr>
              <w:t>Definition</w:t>
            </w:r>
          </w:p>
        </w:tc>
      </w:tr>
      <w:tr w:rsidR="00466415" w:rsidRPr="00C974DA" w14:paraId="6E538A48" w14:textId="77777777" w:rsidTr="00C974DA">
        <w:tc>
          <w:tcPr>
            <w:tcW w:w="2155" w:type="dxa"/>
          </w:tcPr>
          <w:p w14:paraId="4AF70B1C" w14:textId="77777777" w:rsidR="00466415" w:rsidRPr="00C974DA" w:rsidRDefault="00466415" w:rsidP="00DC4A4A">
            <w:pPr>
              <w:spacing w:before="120" w:after="120"/>
              <w:rPr>
                <w:rFonts w:ascii="Cambria" w:hAnsi="Cambria"/>
                <w:i/>
                <w:iCs/>
              </w:rPr>
            </w:pPr>
            <w:r w:rsidRPr="00C974DA">
              <w:rPr>
                <w:rFonts w:ascii="Cambria" w:hAnsi="Cambria"/>
                <w:i/>
                <w:iCs/>
              </w:rPr>
              <w:t>Admitted Patient (Inpatient)</w:t>
            </w:r>
          </w:p>
        </w:tc>
        <w:tc>
          <w:tcPr>
            <w:tcW w:w="7195" w:type="dxa"/>
          </w:tcPr>
          <w:p w14:paraId="027219C7" w14:textId="77777777" w:rsidR="00466415" w:rsidRPr="00C974DA" w:rsidRDefault="00466415" w:rsidP="00DC4A4A">
            <w:pPr>
              <w:spacing w:before="120" w:after="120"/>
              <w:rPr>
                <w:rFonts w:ascii="Cambria" w:hAnsi="Cambria"/>
              </w:rPr>
            </w:pPr>
            <w:r w:rsidRPr="00C974DA">
              <w:rPr>
                <w:rFonts w:ascii="Cambria" w:hAnsi="Cambria"/>
              </w:rPr>
              <w:t>A person who goes into the hospital to receive medical care, and stays there one or more nights while they are being treated (Cambridge Dictionary, n.d.)</w:t>
            </w:r>
          </w:p>
        </w:tc>
      </w:tr>
      <w:tr w:rsidR="00466415" w:rsidRPr="00C974DA" w14:paraId="48F89502" w14:textId="77777777" w:rsidTr="00C974DA">
        <w:tc>
          <w:tcPr>
            <w:tcW w:w="2155" w:type="dxa"/>
          </w:tcPr>
          <w:p w14:paraId="15ECE5B2" w14:textId="77777777" w:rsidR="00466415" w:rsidRPr="00C974DA" w:rsidRDefault="00466415" w:rsidP="00DC4A4A">
            <w:pPr>
              <w:spacing w:before="120" w:after="120"/>
              <w:rPr>
                <w:rFonts w:ascii="Cambria" w:hAnsi="Cambria"/>
                <w:i/>
                <w:iCs/>
              </w:rPr>
            </w:pPr>
            <w:r w:rsidRPr="00C974DA">
              <w:rPr>
                <w:rFonts w:ascii="Cambria" w:hAnsi="Cambria"/>
                <w:i/>
                <w:iCs/>
              </w:rPr>
              <w:t>Boarding Time</w:t>
            </w:r>
          </w:p>
        </w:tc>
        <w:tc>
          <w:tcPr>
            <w:tcW w:w="7195" w:type="dxa"/>
          </w:tcPr>
          <w:p w14:paraId="3C3499AF" w14:textId="77777777" w:rsidR="00466415" w:rsidRPr="00C974DA" w:rsidRDefault="00466415" w:rsidP="00DC4A4A">
            <w:pPr>
              <w:spacing w:before="120" w:after="120"/>
              <w:rPr>
                <w:rFonts w:ascii="Cambria" w:hAnsi="Cambria"/>
              </w:rPr>
            </w:pPr>
            <w:r w:rsidRPr="00C974DA">
              <w:rPr>
                <w:rFonts w:ascii="Cambria" w:hAnsi="Cambria"/>
              </w:rPr>
              <w:t>The difference in minutes between the time a decision is made to admit a patient to the hospital and the time they are transferred to an inpatient unit (American College of Emergency Physicians, 2018)</w:t>
            </w:r>
          </w:p>
        </w:tc>
      </w:tr>
      <w:tr w:rsidR="00466415" w:rsidRPr="00C974DA" w14:paraId="77C43127" w14:textId="77777777" w:rsidTr="00C974DA">
        <w:tc>
          <w:tcPr>
            <w:tcW w:w="2155" w:type="dxa"/>
          </w:tcPr>
          <w:p w14:paraId="03793DAE" w14:textId="77777777" w:rsidR="00466415" w:rsidRPr="00C974DA" w:rsidRDefault="00466415" w:rsidP="00DC4A4A">
            <w:pPr>
              <w:spacing w:before="120" w:after="120"/>
              <w:rPr>
                <w:rFonts w:ascii="Cambria" w:hAnsi="Cambria"/>
                <w:i/>
                <w:iCs/>
              </w:rPr>
            </w:pPr>
            <w:r w:rsidRPr="00C974DA">
              <w:rPr>
                <w:rFonts w:ascii="Cambria" w:hAnsi="Cambria"/>
                <w:i/>
                <w:iCs/>
              </w:rPr>
              <w:t>Emergency Department</w:t>
            </w:r>
          </w:p>
        </w:tc>
        <w:tc>
          <w:tcPr>
            <w:tcW w:w="7195" w:type="dxa"/>
          </w:tcPr>
          <w:p w14:paraId="5D3FE86B" w14:textId="77777777" w:rsidR="00466415" w:rsidRPr="00C974DA" w:rsidRDefault="00466415" w:rsidP="00DC4A4A">
            <w:pPr>
              <w:spacing w:before="120" w:after="120"/>
              <w:rPr>
                <w:rFonts w:ascii="Cambria" w:hAnsi="Cambria"/>
              </w:rPr>
            </w:pPr>
            <w:r w:rsidRPr="00C974DA">
              <w:rPr>
                <w:rFonts w:ascii="Cambria" w:hAnsi="Cambria"/>
              </w:rPr>
              <w:t xml:space="preserve">The </w:t>
            </w:r>
            <w:bookmarkStart w:id="0" w:name="_Hlk48907729"/>
            <w:r w:rsidRPr="00C974DA">
              <w:rPr>
                <w:rFonts w:ascii="Cambria" w:hAnsi="Cambria"/>
              </w:rPr>
              <w:t>department of a hospital responsible for the provision of medical and surgical care to patients arriving at the hospital in need of immediate care</w:t>
            </w:r>
            <w:bookmarkEnd w:id="0"/>
            <w:r w:rsidRPr="00C974DA">
              <w:rPr>
                <w:rFonts w:ascii="Cambria" w:hAnsi="Cambria"/>
              </w:rPr>
              <w:t xml:space="preserve"> (</w:t>
            </w:r>
            <w:proofErr w:type="spellStart"/>
            <w:r w:rsidRPr="00C974DA">
              <w:rPr>
                <w:rFonts w:ascii="Cambria" w:hAnsi="Cambria"/>
              </w:rPr>
              <w:t>Shiel</w:t>
            </w:r>
            <w:proofErr w:type="spellEnd"/>
            <w:r w:rsidRPr="00C974DA">
              <w:rPr>
                <w:rFonts w:ascii="Cambria" w:hAnsi="Cambria"/>
              </w:rPr>
              <w:t>, 2018)</w:t>
            </w:r>
          </w:p>
        </w:tc>
      </w:tr>
      <w:tr w:rsidR="00466415" w:rsidRPr="00C974DA" w14:paraId="46053298" w14:textId="77777777" w:rsidTr="00C974DA">
        <w:tc>
          <w:tcPr>
            <w:tcW w:w="2155" w:type="dxa"/>
          </w:tcPr>
          <w:p w14:paraId="3C9E8EAB" w14:textId="77777777" w:rsidR="00466415" w:rsidRPr="00C974DA" w:rsidRDefault="00466415" w:rsidP="00DC4A4A">
            <w:pPr>
              <w:spacing w:before="120" w:after="120"/>
              <w:rPr>
                <w:rFonts w:ascii="Cambria" w:hAnsi="Cambria"/>
                <w:i/>
                <w:iCs/>
              </w:rPr>
            </w:pPr>
            <w:r w:rsidRPr="00C974DA">
              <w:rPr>
                <w:rFonts w:ascii="Cambria" w:hAnsi="Cambria"/>
                <w:i/>
                <w:iCs/>
              </w:rPr>
              <w:t>Generalized Linear Model (GLM)</w:t>
            </w:r>
          </w:p>
        </w:tc>
        <w:tc>
          <w:tcPr>
            <w:tcW w:w="7195" w:type="dxa"/>
          </w:tcPr>
          <w:p w14:paraId="29D4065F" w14:textId="77777777" w:rsidR="00466415" w:rsidRPr="00C974DA" w:rsidRDefault="00466415" w:rsidP="00DC4A4A">
            <w:pPr>
              <w:spacing w:before="120" w:after="120"/>
              <w:rPr>
                <w:rFonts w:ascii="Cambria" w:hAnsi="Cambria"/>
              </w:rPr>
            </w:pPr>
            <w:r w:rsidRPr="00C974DA">
              <w:rPr>
                <w:rFonts w:ascii="Cambria" w:hAnsi="Cambria"/>
              </w:rPr>
              <w:t>A technique of iterative weighted linear regression where observations are distributed according to some exponential family and systematic effects that can be made linear by a suitable transformation (</w:t>
            </w:r>
            <w:proofErr w:type="spellStart"/>
            <w:r w:rsidRPr="00C974DA">
              <w:rPr>
                <w:rFonts w:ascii="Cambria" w:hAnsi="Cambria"/>
              </w:rPr>
              <w:t>Nelder</w:t>
            </w:r>
            <w:proofErr w:type="spellEnd"/>
            <w:r w:rsidRPr="00C974DA">
              <w:rPr>
                <w:rFonts w:ascii="Cambria" w:hAnsi="Cambria"/>
              </w:rPr>
              <w:t xml:space="preserve"> and Wedderburn, 1972)</w:t>
            </w:r>
          </w:p>
        </w:tc>
      </w:tr>
      <w:tr w:rsidR="00466415" w:rsidRPr="00C974DA" w14:paraId="5235A14D" w14:textId="77777777" w:rsidTr="00C974DA">
        <w:tc>
          <w:tcPr>
            <w:tcW w:w="2155" w:type="dxa"/>
          </w:tcPr>
          <w:p w14:paraId="5072C104" w14:textId="77777777" w:rsidR="00466415" w:rsidRPr="00C974DA" w:rsidRDefault="00466415" w:rsidP="00DC4A4A">
            <w:pPr>
              <w:spacing w:before="120" w:after="120"/>
              <w:rPr>
                <w:rFonts w:ascii="Cambria" w:hAnsi="Cambria"/>
                <w:i/>
                <w:iCs/>
              </w:rPr>
            </w:pPr>
            <w:r w:rsidRPr="00C974DA">
              <w:rPr>
                <w:rFonts w:ascii="Cambria" w:hAnsi="Cambria"/>
                <w:i/>
                <w:iCs/>
              </w:rPr>
              <w:t>Length of Stay (LOS)</w:t>
            </w:r>
          </w:p>
        </w:tc>
        <w:tc>
          <w:tcPr>
            <w:tcW w:w="7195" w:type="dxa"/>
          </w:tcPr>
          <w:p w14:paraId="5D63A173" w14:textId="77777777" w:rsidR="00466415" w:rsidRPr="00C974DA" w:rsidRDefault="00466415" w:rsidP="00DC4A4A">
            <w:pPr>
              <w:spacing w:before="120" w:after="120"/>
              <w:rPr>
                <w:rFonts w:ascii="Cambria" w:hAnsi="Cambria"/>
              </w:rPr>
            </w:pPr>
            <w:r w:rsidRPr="00C974DA">
              <w:rPr>
                <w:rFonts w:ascii="Cambria" w:hAnsi="Cambria"/>
              </w:rPr>
              <w:t>The difference in minutes between the time a patient arrives at the emergency department and the time they are either discharged or admitted to the hospital as an inpatient (Pines et al., 2009)</w:t>
            </w:r>
          </w:p>
        </w:tc>
      </w:tr>
      <w:tr w:rsidR="00466415" w:rsidRPr="00C974DA" w14:paraId="126BF082" w14:textId="77777777" w:rsidTr="00C974DA">
        <w:tc>
          <w:tcPr>
            <w:tcW w:w="2155" w:type="dxa"/>
          </w:tcPr>
          <w:p w14:paraId="6E79EFB8" w14:textId="77777777" w:rsidR="00466415" w:rsidRPr="00C974DA" w:rsidRDefault="00466415" w:rsidP="00DC4A4A">
            <w:pPr>
              <w:spacing w:before="120" w:after="120"/>
              <w:rPr>
                <w:rFonts w:ascii="Cambria" w:hAnsi="Cambria"/>
                <w:i/>
                <w:iCs/>
              </w:rPr>
            </w:pPr>
            <w:r w:rsidRPr="00C974DA">
              <w:rPr>
                <w:rFonts w:ascii="Cambria" w:hAnsi="Cambria"/>
                <w:i/>
                <w:iCs/>
              </w:rPr>
              <w:t>Left Without Being Seen (LWBS)</w:t>
            </w:r>
          </w:p>
        </w:tc>
        <w:tc>
          <w:tcPr>
            <w:tcW w:w="7195" w:type="dxa"/>
          </w:tcPr>
          <w:p w14:paraId="56EE637F" w14:textId="77777777" w:rsidR="00466415" w:rsidRPr="00C974DA" w:rsidRDefault="00466415" w:rsidP="00DC4A4A">
            <w:pPr>
              <w:spacing w:before="120" w:after="120"/>
              <w:rPr>
                <w:rFonts w:ascii="Cambria" w:hAnsi="Cambria"/>
              </w:rPr>
            </w:pPr>
            <w:r w:rsidRPr="00C974DA">
              <w:rPr>
                <w:rFonts w:ascii="Cambria" w:hAnsi="Cambria"/>
              </w:rPr>
              <w:t>Proportion of patients who leave the emergency department from the waiting room, after having completed their administrative paperwork but before being seen by a doctor or nurse (Carron et al., 2014)</w:t>
            </w:r>
          </w:p>
        </w:tc>
      </w:tr>
      <w:tr w:rsidR="00466415" w:rsidRPr="00C974DA" w14:paraId="0D742828" w14:textId="77777777" w:rsidTr="00C974DA">
        <w:tc>
          <w:tcPr>
            <w:tcW w:w="2155" w:type="dxa"/>
          </w:tcPr>
          <w:p w14:paraId="51F657E2" w14:textId="77777777" w:rsidR="00466415" w:rsidRPr="00C974DA" w:rsidRDefault="00466415" w:rsidP="00DC4A4A">
            <w:pPr>
              <w:spacing w:before="120" w:after="120"/>
              <w:rPr>
                <w:rFonts w:ascii="Cambria" w:hAnsi="Cambria"/>
                <w:i/>
                <w:iCs/>
              </w:rPr>
            </w:pPr>
            <w:r w:rsidRPr="00C974DA">
              <w:rPr>
                <w:rFonts w:ascii="Cambria" w:hAnsi="Cambria"/>
                <w:i/>
                <w:iCs/>
              </w:rPr>
              <w:t>Medicaid</w:t>
            </w:r>
          </w:p>
        </w:tc>
        <w:tc>
          <w:tcPr>
            <w:tcW w:w="7195" w:type="dxa"/>
          </w:tcPr>
          <w:p w14:paraId="72965CD4" w14:textId="34178D43" w:rsidR="00466415" w:rsidRPr="00C974DA" w:rsidRDefault="00466415" w:rsidP="00DC4A4A">
            <w:pPr>
              <w:spacing w:before="120" w:after="120"/>
              <w:rPr>
                <w:rFonts w:ascii="Cambria" w:hAnsi="Cambria"/>
              </w:rPr>
            </w:pPr>
            <w:r w:rsidRPr="00C974DA">
              <w:rPr>
                <w:rFonts w:ascii="Cambria" w:hAnsi="Cambria"/>
              </w:rPr>
              <w:t xml:space="preserve">A federal program in the United States, administered by the individual states, providing health insurance to millions of Americans, including eligible low-income adults, children, pregnant women, elderly </w:t>
            </w:r>
            <w:r w:rsidR="007D0E11" w:rsidRPr="00C974DA">
              <w:rPr>
                <w:rFonts w:ascii="Cambria" w:hAnsi="Cambria"/>
              </w:rPr>
              <w:t>adults,</w:t>
            </w:r>
            <w:r w:rsidRPr="00C974DA">
              <w:rPr>
                <w:rFonts w:ascii="Cambria" w:hAnsi="Cambria"/>
              </w:rPr>
              <w:t xml:space="preserve"> and people with disabilities (Medicaid, 2020)</w:t>
            </w:r>
          </w:p>
        </w:tc>
      </w:tr>
      <w:tr w:rsidR="00466415" w:rsidRPr="00C974DA" w14:paraId="5E88DCF0" w14:textId="77777777" w:rsidTr="00C974DA">
        <w:tc>
          <w:tcPr>
            <w:tcW w:w="2155" w:type="dxa"/>
          </w:tcPr>
          <w:p w14:paraId="3C3532D0" w14:textId="77777777" w:rsidR="00466415" w:rsidRPr="00C974DA" w:rsidRDefault="00466415" w:rsidP="00DC4A4A">
            <w:pPr>
              <w:spacing w:before="120" w:after="120"/>
              <w:rPr>
                <w:rFonts w:ascii="Cambria" w:hAnsi="Cambria"/>
                <w:i/>
                <w:iCs/>
              </w:rPr>
            </w:pPr>
            <w:r w:rsidRPr="00C974DA">
              <w:rPr>
                <w:rFonts w:ascii="Cambria" w:hAnsi="Cambria"/>
                <w:i/>
                <w:iCs/>
              </w:rPr>
              <w:t>Medicaid Expansion</w:t>
            </w:r>
          </w:p>
        </w:tc>
        <w:tc>
          <w:tcPr>
            <w:tcW w:w="7195" w:type="dxa"/>
          </w:tcPr>
          <w:p w14:paraId="5FEB3CD0" w14:textId="77777777" w:rsidR="00466415" w:rsidRPr="00C974DA" w:rsidRDefault="00466415" w:rsidP="00DC4A4A">
            <w:pPr>
              <w:spacing w:before="120" w:after="120"/>
              <w:rPr>
                <w:rFonts w:ascii="Cambria" w:hAnsi="Cambria"/>
              </w:rPr>
            </w:pPr>
            <w:r w:rsidRPr="00C974DA">
              <w:rPr>
                <w:rFonts w:ascii="Cambria" w:hAnsi="Cambria"/>
              </w:rPr>
              <w:t xml:space="preserve">A provision in the Affordable Care Act of 2010 allowing states to expand Medicaid eligibility in order to cover all low-income individuals with incomes at or below 138 percent of the federal poverty line. States decide on their own whether to participate or not. As of 2018, 36 states plus D.C. had chosen to do so. (Garfield, </w:t>
            </w:r>
            <w:proofErr w:type="spellStart"/>
            <w:r w:rsidRPr="00C974DA">
              <w:rPr>
                <w:rFonts w:ascii="Cambria" w:hAnsi="Cambria"/>
              </w:rPr>
              <w:t>Orgera</w:t>
            </w:r>
            <w:proofErr w:type="spellEnd"/>
            <w:r w:rsidRPr="00C974DA">
              <w:rPr>
                <w:rFonts w:ascii="Cambria" w:hAnsi="Cambria"/>
              </w:rPr>
              <w:t xml:space="preserve"> &amp; Damico, 2020)</w:t>
            </w:r>
          </w:p>
        </w:tc>
      </w:tr>
      <w:tr w:rsidR="00466415" w:rsidRPr="00C974DA" w14:paraId="7A3F09D6" w14:textId="77777777" w:rsidTr="00C974DA">
        <w:tc>
          <w:tcPr>
            <w:tcW w:w="2155" w:type="dxa"/>
          </w:tcPr>
          <w:p w14:paraId="4390DA2C" w14:textId="77777777" w:rsidR="00466415" w:rsidRPr="00C974DA" w:rsidRDefault="00466415" w:rsidP="00DC4A4A">
            <w:pPr>
              <w:spacing w:before="120" w:after="120"/>
              <w:rPr>
                <w:rFonts w:ascii="Cambria" w:hAnsi="Cambria"/>
                <w:i/>
                <w:iCs/>
              </w:rPr>
            </w:pPr>
            <w:r w:rsidRPr="00C974DA">
              <w:rPr>
                <w:rFonts w:ascii="Cambria" w:hAnsi="Cambria"/>
                <w:i/>
                <w:iCs/>
              </w:rPr>
              <w:t>Medicare</w:t>
            </w:r>
          </w:p>
        </w:tc>
        <w:tc>
          <w:tcPr>
            <w:tcW w:w="7195" w:type="dxa"/>
          </w:tcPr>
          <w:p w14:paraId="270EB4E9" w14:textId="77777777" w:rsidR="00466415" w:rsidRPr="00C974DA" w:rsidRDefault="00466415" w:rsidP="00DC4A4A">
            <w:pPr>
              <w:spacing w:before="120" w:after="120"/>
              <w:rPr>
                <w:rFonts w:ascii="Cambria" w:hAnsi="Cambria"/>
              </w:rPr>
            </w:pPr>
            <w:r w:rsidRPr="00C974DA">
              <w:rPr>
                <w:rFonts w:ascii="Cambria" w:hAnsi="Cambria"/>
              </w:rPr>
              <w:t>A federal health insurance program in the United States, primarily for people who are 65 or older (Medicare, n.d.)</w:t>
            </w:r>
          </w:p>
        </w:tc>
      </w:tr>
      <w:tr w:rsidR="00466415" w:rsidRPr="00C974DA" w14:paraId="7A54A2F5" w14:textId="77777777" w:rsidTr="00C974DA">
        <w:tc>
          <w:tcPr>
            <w:tcW w:w="2155" w:type="dxa"/>
          </w:tcPr>
          <w:p w14:paraId="5F69439D" w14:textId="77777777" w:rsidR="00466415" w:rsidRPr="00C974DA" w:rsidRDefault="00466415" w:rsidP="00DC4A4A">
            <w:pPr>
              <w:spacing w:before="120" w:after="120"/>
              <w:rPr>
                <w:rFonts w:ascii="Cambria" w:hAnsi="Cambria"/>
                <w:i/>
                <w:iCs/>
              </w:rPr>
            </w:pPr>
            <w:r w:rsidRPr="00C974DA">
              <w:rPr>
                <w:rFonts w:ascii="Cambria" w:hAnsi="Cambria"/>
                <w:i/>
                <w:iCs/>
              </w:rPr>
              <w:t>Wait Time</w:t>
            </w:r>
          </w:p>
        </w:tc>
        <w:tc>
          <w:tcPr>
            <w:tcW w:w="7195" w:type="dxa"/>
          </w:tcPr>
          <w:p w14:paraId="6453B506" w14:textId="77777777" w:rsidR="00466415" w:rsidRPr="00C974DA" w:rsidRDefault="00466415" w:rsidP="00DC4A4A">
            <w:pPr>
              <w:spacing w:before="120" w:after="120"/>
              <w:rPr>
                <w:rFonts w:ascii="Cambria" w:hAnsi="Cambria"/>
              </w:rPr>
            </w:pPr>
            <w:r w:rsidRPr="00C974DA">
              <w:rPr>
                <w:rFonts w:ascii="Cambria" w:hAnsi="Cambria"/>
              </w:rPr>
              <w:t>The difference in minutes between the time a patient arrives and the time of initial patient examination by an emergency department physician (National Center for Health Statistics, 2019).</w:t>
            </w:r>
          </w:p>
        </w:tc>
      </w:tr>
      <w:tr w:rsidR="00466415" w:rsidRPr="00C974DA" w14:paraId="27CB746C" w14:textId="77777777" w:rsidTr="00C974DA">
        <w:tc>
          <w:tcPr>
            <w:tcW w:w="2155" w:type="dxa"/>
          </w:tcPr>
          <w:p w14:paraId="1BFC93E8" w14:textId="77777777" w:rsidR="00466415" w:rsidRPr="00C974DA" w:rsidRDefault="00466415" w:rsidP="00DC4A4A">
            <w:pPr>
              <w:spacing w:before="120" w:after="120"/>
              <w:rPr>
                <w:rFonts w:ascii="Cambria" w:hAnsi="Cambria"/>
                <w:i/>
                <w:iCs/>
              </w:rPr>
            </w:pPr>
            <w:r w:rsidRPr="00C974DA">
              <w:rPr>
                <w:rFonts w:ascii="Cambria" w:hAnsi="Cambria"/>
                <w:i/>
                <w:iCs/>
              </w:rPr>
              <w:t>Zip Code</w:t>
            </w:r>
          </w:p>
        </w:tc>
        <w:tc>
          <w:tcPr>
            <w:tcW w:w="7195" w:type="dxa"/>
          </w:tcPr>
          <w:p w14:paraId="43C2EB58" w14:textId="77777777" w:rsidR="00466415" w:rsidRPr="00C974DA" w:rsidRDefault="00466415" w:rsidP="00DC4A4A">
            <w:pPr>
              <w:spacing w:before="120" w:after="120"/>
              <w:rPr>
                <w:rFonts w:ascii="Cambria" w:hAnsi="Cambria"/>
              </w:rPr>
            </w:pPr>
            <w:r w:rsidRPr="00C974DA">
              <w:rPr>
                <w:rFonts w:ascii="Cambria" w:hAnsi="Cambria"/>
              </w:rPr>
              <w:t>A number that identifies a particular geographic area in the United States. Most commonly associated with postal delivery. (Merriam-Webster, n.d.)</w:t>
            </w:r>
          </w:p>
        </w:tc>
      </w:tr>
    </w:tbl>
    <w:p w14:paraId="06763427" w14:textId="77777777" w:rsidR="00EC18DE" w:rsidRPr="00C974DA" w:rsidRDefault="006A2E10">
      <w:pPr>
        <w:rPr>
          <w:rFonts w:ascii="Cambria" w:hAnsi="Cambria"/>
        </w:rPr>
      </w:pPr>
    </w:p>
    <w:sectPr w:rsidR="00EC18DE" w:rsidRPr="00C97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15"/>
    <w:rsid w:val="00466415"/>
    <w:rsid w:val="005517E2"/>
    <w:rsid w:val="006A2E10"/>
    <w:rsid w:val="007D0E11"/>
    <w:rsid w:val="0083654C"/>
    <w:rsid w:val="00C974DA"/>
    <w:rsid w:val="00F4089B"/>
    <w:rsid w:val="00F8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D436"/>
  <w15:chartTrackingRefBased/>
  <w15:docId w15:val="{EFB73C57-AD11-405A-AEE4-ADADC519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4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Wall</dc:creator>
  <cp:keywords/>
  <dc:description/>
  <cp:lastModifiedBy>Jon Wall</cp:lastModifiedBy>
  <cp:revision>3</cp:revision>
  <dcterms:created xsi:type="dcterms:W3CDTF">2020-08-20T00:02:00Z</dcterms:created>
  <dcterms:modified xsi:type="dcterms:W3CDTF">2020-08-21T22:20:00Z</dcterms:modified>
</cp:coreProperties>
</file>