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Arial" w:cs="Arial" w:eastAsia="Arial" w:hAnsi="Arial"/>
          <w:b/>
          <w:bCs/>
          <w:color w:val="1B3A5C"/>
          <w:sz w:val="48"/>
          <w:szCs w:val="48"/>
        </w:rPr>
        <w:t xml:space="preserve">Architecture &amp; Security Review</w:t>
      </w:r>
    </w:p>
    <w:p>
      <w:pPr>
        <w:spacing w:after="100"/>
        <w:jc w:val="center"/>
      </w:pPr>
      <w:r>
        <w:rPr>
          <w:rFonts w:ascii="Arial" w:cs="Arial" w:eastAsia="Arial" w:hAnsi="Arial"/>
          <w:color w:val="2E86C1"/>
          <w:sz w:val="32"/>
          <w:szCs w:val="32"/>
        </w:rPr>
        <w:t xml:space="preserve">AI Readiness Check Application</w:t>
      </w:r>
    </w:p>
    <w:p>
      <w:pPr>
        <w:spacing w:after="600"/>
        <w:jc w:val="center"/>
      </w:pPr>
      <w:r>
        <w:rPr>
          <w:rFonts w:ascii="Arial" w:cs="Arial" w:eastAsia="Arial" w:hAnsi="Arial"/>
          <w:color w:val="7F8C8D"/>
          <w:sz w:val="24"/>
          <w:szCs w:val="24"/>
        </w:rPr>
        <w:t xml:space="preserve">adesso Group</w:t>
      </w:r>
    </w:p>
    <w:p>
      <w:pPr>
        <w:pBdr>
          <w:bottom w:val="single" w:color="2E86C1" w:sz="6" w:space="1"/>
        </w:pBdr>
        <w:spacing w:after="400"/>
        <w:jc w:val="center"/>
      </w:pPr>
    </w:p>
    <w:p>
      <w:pPr>
        <w:spacing w:after="80"/>
        <w:jc w:val="center"/>
      </w:pPr>
      <w:r>
        <w:rPr>
          <w:rFonts w:ascii="Arial" w:cs="Arial" w:eastAsia="Arial" w:hAnsi="Arial"/>
          <w:color w:val="555555"/>
          <w:sz w:val="22"/>
          <w:szCs w:val="22"/>
        </w:rPr>
        <w:t xml:space="preserve">Review Date: March 9, 2026</w:t>
      </w:r>
    </w:p>
    <w:p>
      <w:pPr>
        <w:spacing w:after="80"/>
        <w:jc w:val="center"/>
      </w:pPr>
      <w:r>
        <w:rPr>
          <w:rFonts w:ascii="Arial" w:cs="Arial" w:eastAsia="Arial" w:hAnsi="Arial"/>
          <w:b/>
          <w:bCs/>
          <w:color w:val="C0392B"/>
          <w:sz w:val="22"/>
          <w:szCs w:val="22"/>
        </w:rPr>
        <w:t xml:space="preserve">Classification: Confidential</w:t>
      </w:r>
    </w:p>
    <w:p>
      <w:pPr>
        <w:spacing w:after="80"/>
        <w:jc w:val="center"/>
      </w:pPr>
      <w:r>
        <w:rPr>
          <w:rFonts w:ascii="Arial" w:cs="Arial" w:eastAsia="Arial" w:hAnsi="Arial"/>
          <w:color w:val="555555"/>
          <w:sz w:val="20"/>
          <w:szCs w:val="20"/>
        </w:rPr>
        <w:t xml:space="preserve">Tech Stack: React 19 + Vite 7 + Supabase + OpenAI-compatible AI API</w:t>
      </w:r>
    </w:p>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0"/>
          <w:szCs w:val="20"/>
        </w:rPr>
        <w:t xml:space="preserve">This document presents a thorough architecture and security review of the ai-readiness-check application, a React-based SPA that enables SAP consultants to conduct AI readiness assessments for enterprise clients. The application uses Supabase as its backend (auth, database, real-time) and integrates with an internal adesso AI Hub for recommendation generation.</w:t>
      </w:r>
    </w:p>
    <w:p>
      <w:pPr>
        <w:spacing w:after="120"/>
      </w:pPr>
      <w:r>
        <w:rPr>
          <w:rFonts w:ascii="Arial" w:cs="Arial" w:eastAsia="Arial" w:hAnsi="Arial"/>
          <w:sz w:val="20"/>
          <w:szCs w:val="20"/>
        </w:rPr>
        <w:t xml:space="preserve">The application is well-structured for a prototype/internal tool. The React component architecture, real-time collaboration features, i18n support, and scoring engine are thoughtfully designed. However, I have identified several critical security vulnerabilities and architectural concerns that must be addressed before any production or client-facing deployment.</w:t>
      </w:r>
    </w:p>
    <w:p>
      <w:pPr>
        <w:spacing w:after="200" w:before="200"/>
      </w:pPr>
      <w:r>
        <w:rPr>
          <w:rFonts w:ascii="Arial" w:cs="Arial" w:eastAsia="Arial" w:hAnsi="Arial"/>
          <w:b/>
          <w:bCs/>
          <w:sz w:val="22"/>
          <w:szCs w:val="22"/>
        </w:rPr>
        <w:t xml:space="preserve">Finding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Areas</w:t>
            </w:r>
          </w:p>
        </w:tc>
      </w:tr>
      <w:tr>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54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Hardcoded API keys, overly permissive RLS, no input sanitization</w:t>
            </w:r>
          </w:p>
        </w:tc>
      </w:tr>
      <w:tr>
        <w:tc>
          <w:tcPr>
            <w:tcW w:type="dxa" w:w="234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15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54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sz w:val="20"/>
                <w:szCs w:val="20"/>
              </w:rPr>
              <w:t xml:space="preserve">No RBAC, missing CSP, client-side scoring logic, no test suite</w:t>
            </w:r>
          </w:p>
        </w:tc>
      </w:tr>
      <w:tr>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54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Code duplication, inline styles, no error boundaries, missing rate limiting</w:t>
            </w:r>
          </w:p>
        </w:tc>
      </w:tr>
      <w:tr>
        <w:tc>
          <w:tcPr>
            <w:tcW w:type="dxa" w:w="23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sz w:val="20"/>
                <w:szCs w:val="20"/>
              </w:rPr>
              <w:t xml:space="preserve">LOW / INFO</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54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Folder structure, TypeScript migration, CI/CD, logging</w:t>
            </w:r>
          </w:p>
        </w:tc>
      </w:tr>
    </w:tbl>
    <w:p>
      <w:r>
        <w:br w:type="page"/>
      </w:r>
    </w:p>
    <w:p>
      <w:pPr>
        <w:pStyle w:val="Heading1"/>
        <w:spacing w:after="200" w:before="360"/>
      </w:pPr>
      <w:r>
        <w:rPr>
          <w:rFonts w:ascii="Arial" w:cs="Arial" w:eastAsia="Arial" w:hAnsi="Arial"/>
          <w:b/>
          <w:bCs/>
          <w:color w:val="1B3A5C"/>
          <w:sz w:val="32"/>
          <w:szCs w:val="32"/>
        </w:rPr>
        <w:t xml:space="preserve">2. Critical Security Findings</w:t>
      </w:r>
    </w:p>
    <w:p>
      <w:pPr>
        <w:spacing w:after="120"/>
      </w:pPr>
      <w:r>
        <w:rPr>
          <w:rFonts w:ascii="Arial" w:cs="Arial" w:eastAsia="Arial" w:hAnsi="Arial"/>
          <w:sz w:val="20"/>
          <w:szCs w:val="20"/>
        </w:rPr>
        <w:t xml:space="preserve">These issues pose immediate risk and should be resolved before any deployment beyond local development.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60"/>
            </w:pPr>
            <w:r>
              <w:rPr>
                <w:rFonts w:ascii="Arial" w:cs="Arial" w:eastAsia="Arial" w:hAnsi="Arial"/>
                <w:b/>
                <w:bCs/>
                <w:sz w:val="22"/>
                <w:szCs w:val="22"/>
              </w:rPr>
              <w:t xml:space="preserve">F1: Hardcoded API Keys in Source Code (Committed to Git)</w:t>
            </w:r>
          </w:p>
          <w:p>
            <w:pPr>
              <w:spacing w:after="60"/>
            </w:pPr>
            <w:r>
              <w:rPr>
                <w:rFonts w:ascii="Arial" w:cs="Arial" w:eastAsia="Arial" w:hAnsi="Arial"/>
                <w:sz w:val="20"/>
                <w:szCs w:val="20"/>
              </w:rPr>
              <w:t xml:space="preserve">The adesso AI Hub API key (sk-ccwu3ZNJMFCfQG76gRaGjg) is hardcoded directly in both aiService.js and recommendationService.js. These files are committed to Git and, given the gh-pages deployment, the key is exposed in the production JavaScript bundle visible to anyone with browser DevTools. This is an OWASP A07:2021 (Security Misconfiguration) and A02:2021 (Cryptographic Failures) violation.</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Anyone can extract the API key, make unlimited calls to your AI Hub at adesso’s expense, and potentially access or manipulate the AI model. The key sk-ccwu3ZNJMFCfQG76gRaGjg is now considered compromised and should be rotated immediately.</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1) Rotate the API key immediately. 2) Move all AI API calls to a backend proxy (Supabase Edge Function or a small server). The client should never hold API keys for external services. 3) Add rate limiting and authentication to the proxy.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60"/>
            </w:pPr>
            <w:r>
              <w:rPr>
                <w:rFonts w:ascii="Arial" w:cs="Arial" w:eastAsia="Arial" w:hAnsi="Arial"/>
                <w:b/>
                <w:bCs/>
                <w:sz w:val="22"/>
                <w:szCs w:val="22"/>
              </w:rPr>
              <w:t xml:space="preserve">F2: Supabase Row-Level Security (RLS) Fully Bypassed</w:t>
            </w:r>
          </w:p>
          <w:p>
            <w:pPr>
              <w:spacing w:after="60"/>
            </w:pPr>
            <w:r>
              <w:rPr>
                <w:rFonts w:ascii="Arial" w:cs="Arial" w:eastAsia="Arial" w:hAnsi="Arial"/>
                <w:sz w:val="20"/>
                <w:szCs w:val="20"/>
              </w:rPr>
              <w:t xml:space="preserve">The fix-rls-policies.sql and allow-all-deletes.sql scripts replace carefully scoped RLS policies with USING (true) / WITH CHECK (true) for INSERT, UPDATE, and DELETE on the answers, section_assignments, and assessments tables. This means any authenticated user can read, modify, or delete ANY other user’s data across the entire system. The original schema.sql had proper owner-based policies, but these were overridden.</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A disgruntled or compromised user account can delete all assessments, tamper with answers, or exfiltrate competitor customer data. This is a complete authorization bypass (OWASP A01:2021 — Broken Access Control).</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Revert to the original schema.sql policies and extend them properly. DELETE should be restricted to assessment owners. Answers should only be writable by assessment owners or assigned users. Never use USING (true) WITH CHECK (true) in production.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60"/>
            </w:pPr>
            <w:r>
              <w:rPr>
                <w:rFonts w:ascii="Arial" w:cs="Arial" w:eastAsia="Arial" w:hAnsi="Arial"/>
                <w:b/>
                <w:bCs/>
                <w:sz w:val="22"/>
                <w:szCs w:val="22"/>
              </w:rPr>
              <w:t xml:space="preserve">F3: No Server-Side Input Validation or Sanitization</w:t>
            </w:r>
          </w:p>
          <w:p>
            <w:pPr>
              <w:spacing w:after="60"/>
            </w:pPr>
            <w:r>
              <w:rPr>
                <w:rFonts w:ascii="Arial" w:cs="Arial" w:eastAsia="Arial" w:hAnsi="Arial"/>
                <w:sz w:val="20"/>
                <w:szCs w:val="20"/>
              </w:rPr>
              <w:t xml:space="preserve">User-provided answers are stored directly into Supabase without sanitization. The answers flow from textarea inputs directly into the database and are later rendered in components, PDF exports, and sent to AI prompts. There is no XSS sanitization, no SQL injection protection beyond Supabase’s parameterized queries, and critically, there is no protection against prompt injection in the AI service calls (user answers are interpolated directly into LLM prompts).</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Stored XSS attacks via malicious assessment answers rendered in other users’ browsers, AI prompt injection allowing extraction of system prompts or manipulation of recommendations, and potential data exfiltration through crafted answers.</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1) Sanitize all user input before storage (DOMPurify or similar). 2) Escape answers before interpolating them into AI prompts. 3) Validate answer length and content on the server (Supabase Edge Functions or database constraints). 4) Use Content Security Policy headers.</w:t>
      </w:r>
    </w:p>
    <w:p>
      <w:r>
        <w:br w:type="page"/>
      </w:r>
    </w:p>
    <w:p>
      <w:pPr>
        <w:pStyle w:val="Heading1"/>
        <w:spacing w:after="200" w:before="360"/>
      </w:pPr>
      <w:r>
        <w:rPr>
          <w:rFonts w:ascii="Arial" w:cs="Arial" w:eastAsia="Arial" w:hAnsi="Arial"/>
          <w:b/>
          <w:bCs/>
          <w:color w:val="1B3A5C"/>
          <w:sz w:val="32"/>
          <w:szCs w:val="32"/>
        </w:rPr>
        <w:t xml:space="preserve">3. High-Severity Findings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60"/>
            </w:pPr>
            <w:r>
              <w:rPr>
                <w:rFonts w:ascii="Arial" w:cs="Arial" w:eastAsia="Arial" w:hAnsi="Arial"/>
                <w:b/>
                <w:bCs/>
                <w:sz w:val="22"/>
                <w:szCs w:val="22"/>
              </w:rPr>
              <w:t xml:space="preserve">F4: No Role-Based Access Control (RBAC) Enforcement</w:t>
            </w:r>
          </w:p>
          <w:p>
            <w:pPr>
              <w:spacing w:after="60"/>
            </w:pPr>
            <w:r>
              <w:rPr>
                <w:rFonts w:ascii="Arial" w:cs="Arial" w:eastAsia="Arial" w:hAnsi="Arial"/>
                <w:sz w:val="20"/>
                <w:szCs w:val="20"/>
              </w:rPr>
              <w:t xml:space="preserve">The profiles table has a role column (admin/consultant), but it is never checked anywhere in the application. The schema has no RLS policies that differentiate between admin and consultant roles. Any authenticated user has identical permissions regardless of their role assignment. The UI does not gate any features based on role either.</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There is no functional difference between an admin and a consultant. Anyone can perform administrative actions. The role field is purely decorative.</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Implement proper RBAC in RLS policies using auth.jwt() -&gt; 'user_metadata' or a join to the profiles table. Gate destructive operations (delete, user management) to admin role. Enforce in both database policies and UI.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60"/>
            </w:pPr>
            <w:r>
              <w:rPr>
                <w:rFonts w:ascii="Arial" w:cs="Arial" w:eastAsia="Arial" w:hAnsi="Arial"/>
                <w:b/>
                <w:bCs/>
                <w:sz w:val="22"/>
                <w:szCs w:val="22"/>
              </w:rPr>
              <w:t xml:space="preserve">F5: Missing Content Security Policy and Security Headers</w:t>
            </w:r>
          </w:p>
          <w:p>
            <w:pPr>
              <w:spacing w:after="60"/>
            </w:pPr>
            <w:r>
              <w:rPr>
                <w:rFonts w:ascii="Arial" w:cs="Arial" w:eastAsia="Arial" w:hAnsi="Arial"/>
                <w:sz w:val="20"/>
                <w:szCs w:val="20"/>
              </w:rPr>
              <w:t xml:space="preserve">The index.html has no Content Security Policy (CSP) meta tag or headers. The Vite config does not configure security headers. With the application deployed on GitHub Pages, there is no server-side header configuration. This makes XSS exploitation trivial if an injection point is found.</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Without CSP, any injected script executes with full page privileges, able to steal Supabase session tokens from localStorage and exfiltrate data.</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Add a strict CSP meta tag in index.html. At minimum: default-src 'self'; connect-src to Supabase and AI Hub domains; script-src 'self'; style-src 'self' 'unsafe-inline' (for the inline styles). Consider moving to a hosting platform that supports HTTP security headers.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60"/>
            </w:pPr>
            <w:r>
              <w:rPr>
                <w:rFonts w:ascii="Arial" w:cs="Arial" w:eastAsia="Arial" w:hAnsi="Arial"/>
                <w:b/>
                <w:bCs/>
                <w:sz w:val="22"/>
                <w:szCs w:val="22"/>
              </w:rPr>
              <w:t xml:space="preserve">F6: Business Logic (Scoring) Entirely Client-Side</w:t>
            </w:r>
          </w:p>
          <w:p>
            <w:pPr>
              <w:spacing w:after="60"/>
            </w:pPr>
            <w:r>
              <w:rPr>
                <w:rFonts w:ascii="Arial" w:cs="Arial" w:eastAsia="Arial" w:hAnsi="Arial"/>
                <w:sz w:val="20"/>
                <w:szCs w:val="20"/>
              </w:rPr>
              <w:t xml:space="preserve">The scoring algorithm in scoring.js runs entirely in the browser. Readiness scores are computed from regex pattern matching on answers. This means any user can manipulate their DevTools or intercept network calls to fabricate scores. There is no server-side score verification.</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Assessment scores have no integrity guarantee. A user (or script) could present fabricated readiness scores to clients, undermining the credibility of the entire assessment process.</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Compute scores server-side (Supabase Edge Function or database function). Store computed scores alongside assessments. Client-side scoring can remain for instant UI feedback, but the authoritative score should be server-computed and stored.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spacing w:after="60"/>
            </w:pPr>
            <w:r>
              <w:rPr>
                <w:rFonts w:ascii="Arial" w:cs="Arial" w:eastAsia="Arial" w:hAnsi="Arial"/>
                <w:b/>
                <w:bCs/>
                <w:sz w:val="22"/>
                <w:szCs w:val="22"/>
              </w:rPr>
              <w:t xml:space="preserve">F7: No Test Suite of Any Kind</w:t>
            </w:r>
          </w:p>
          <w:p>
            <w:pPr>
              <w:spacing w:after="60"/>
            </w:pPr>
            <w:r>
              <w:rPr>
                <w:rFonts w:ascii="Arial" w:cs="Arial" w:eastAsia="Arial" w:hAnsi="Arial"/>
                <w:sz w:val="20"/>
                <w:szCs w:val="20"/>
              </w:rPr>
              <w:t xml:space="preserve">There are zero test files in the project. No unit tests, integration tests, component tests, or e2e tests. The package.json has no test script or testing dependencies (no Jest, Vitest, Testing Library, Playwright, or Cypress). For an application that computes business-critical readiness scores and handles customer data, this is a significant quality and reliability risk.</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Any code change could silently break scoring logic, data persistence, authentication, or export functionality with no automated detection.</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Add Vitest (pairs well with Vite) for unit/integration tests. Start with the most critical paths: scoring.js (pure functions, easiest to test), AuthContext, and Supabase data operations. Add React Testing Library for component tests on Login and AIReadinessCheck. Target 80%+ coverage on business logic.</w:t>
      </w:r>
    </w:p>
    <w:p>
      <w:r>
        <w:br w:type="page"/>
      </w:r>
    </w:p>
    <w:p>
      <w:pPr>
        <w:pStyle w:val="Heading1"/>
        <w:spacing w:after="200" w:before="360"/>
      </w:pPr>
      <w:r>
        <w:rPr>
          <w:rFonts w:ascii="Arial" w:cs="Arial" w:eastAsia="Arial" w:hAnsi="Arial"/>
          <w:b/>
          <w:bCs/>
          <w:color w:val="1B3A5C"/>
          <w:sz w:val="32"/>
          <w:szCs w:val="32"/>
        </w:rPr>
        <w:t xml:space="preserve">4. Architectural Concerns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60"/>
            </w:pPr>
            <w:r>
              <w:rPr>
                <w:rFonts w:ascii="Arial" w:cs="Arial" w:eastAsia="Arial" w:hAnsi="Arial"/>
                <w:b/>
                <w:bCs/>
                <w:sz w:val="22"/>
                <w:szCs w:val="22"/>
              </w:rPr>
              <w:t xml:space="preserve">F8: Duplicated AI Configuration and Logic</w:t>
            </w:r>
          </w:p>
          <w:p>
            <w:pPr>
              <w:spacing w:after="60"/>
            </w:pPr>
            <w:r>
              <w:rPr>
                <w:rFonts w:ascii="Arial" w:cs="Arial" w:eastAsia="Arial" w:hAnsi="Arial"/>
                <w:sz w:val="20"/>
                <w:szCs w:val="20"/>
              </w:rPr>
              <w:t xml:space="preserve">The AI_CONFIG object (baseUrl, apiKey, model, maxTokens, temperature) is identically defined in both aiService.js and recommendationService.js. The parseRecommendations, normalizeCategory, normalizePriority, and createFallbackRecommendations functions are also duplicated between these two files with minor variations. This violates DRY and means any configuration change (like rotating the API key) must be made in two places.</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Maintenance burden, risk of configuration drift, and guaranteed inconsistency when one file is updated but not the other.</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Extract shared AI configuration and parsing utilities into a single aiConfig.js module. Both services should import from this single source of truth.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60"/>
            </w:pPr>
            <w:r>
              <w:rPr>
                <w:rFonts w:ascii="Arial" w:cs="Arial" w:eastAsia="Arial" w:hAnsi="Arial"/>
                <w:b/>
                <w:bCs/>
                <w:sz w:val="22"/>
                <w:szCs w:val="22"/>
              </w:rPr>
              <w:t xml:space="preserve">F9: Inline Styles Instead of a Design System</w:t>
            </w:r>
          </w:p>
          <w:p>
            <w:pPr>
              <w:spacing w:after="60"/>
            </w:pPr>
            <w:r>
              <w:rPr>
                <w:rFonts w:ascii="Arial" w:cs="Arial" w:eastAsia="Arial" w:hAnsi="Arial"/>
                <w:sz w:val="20"/>
                <w:szCs w:val="20"/>
              </w:rPr>
              <w:t xml:space="preserve">Nearly all components use inline style objects (style={{ ... }}) with hardcoded colors, spacing, and typography. The Login component defines its styles as a CSS string injected via a &lt;style&gt; tag. There is no design token system, no CSS modules, no Tailwind, and no component library. Colors like #1B3A5C, #2E86C1, #E74C3C are repeated hundreds of times across files.</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Visual inconsistency, extremely difficult theming, poor maintainability, performance overhead from inline style recalculation on every render, and no hover/focus/media-query support without workarounds.</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Adopt CSS Modules (already supported by Vite), Tailwind CSS, or at minimum extract design tokens (colors, spacing, typography) into a shared theme.js file. Replace inline styles progressively.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60"/>
            </w:pPr>
            <w:r>
              <w:rPr>
                <w:rFonts w:ascii="Arial" w:cs="Arial" w:eastAsia="Arial" w:hAnsi="Arial"/>
                <w:b/>
                <w:bCs/>
                <w:sz w:val="22"/>
                <w:szCs w:val="22"/>
              </w:rPr>
              <w:t xml:space="preserve">F10: No React Error Boundaries</w:t>
            </w:r>
          </w:p>
          <w:p>
            <w:pPr>
              <w:spacing w:after="60"/>
            </w:pPr>
            <w:r>
              <w:rPr>
                <w:rFonts w:ascii="Arial" w:cs="Arial" w:eastAsia="Arial" w:hAnsi="Arial"/>
                <w:sz w:val="20"/>
                <w:szCs w:val="20"/>
              </w:rPr>
              <w:t xml:space="preserve">There are no Error Boundary components anywhere in the application. If any component throws during render (a very common scenario when API data is unexpectedly null or malformed), the entire application crashes with a white screen. The CollaborationContext, AI service calls, and Supabase queries are all potential crash points.</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A single malformed API response or unexpected null value crashes the entire application for the user, with no recovery path except a page reload (which may lose unsaved work).</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Add Error Boundary components at key points: around the Router, around individual route components, and around the CollaborationProvider. Display a user-friendly fallback UI with a retry option.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60"/>
            </w:pPr>
            <w:r>
              <w:rPr>
                <w:rFonts w:ascii="Arial" w:cs="Arial" w:eastAsia="Arial" w:hAnsi="Arial"/>
                <w:b/>
                <w:bCs/>
                <w:sz w:val="22"/>
                <w:szCs w:val="22"/>
              </w:rPr>
              <w:t xml:space="preserve">F11: No Rate Limiting on AI API Calls</w:t>
            </w:r>
          </w:p>
          <w:p>
            <w:pPr>
              <w:spacing w:after="60"/>
            </w:pPr>
            <w:r>
              <w:rPr>
                <w:rFonts w:ascii="Arial" w:cs="Arial" w:eastAsia="Arial" w:hAnsi="Arial"/>
                <w:sz w:val="20"/>
                <w:szCs w:val="20"/>
              </w:rPr>
              <w:t xml:space="preserve">The AI service functions (generateRecommendations, requestRecommendations) have no client-side throttling beyond a 2-second debounce on section recommendations. A user rapidly switching sections or clicking 'generate' repeatedly could fire many simultaneous API requests. There is also no server-side rate limiting since calls go directly from the browser to the AI Hub.</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Potential for runaway API costs, AI Hub rate limit exhaustion affecting all users, and poor UX from overlapping responses.</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Implement a proper request queue with concurrency limits (max 2 simultaneous AI calls per user). Add a backend proxy that enforces per-user rate limits. Track API usage in the database for cost visibility.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60"/>
            </w:pPr>
            <w:r>
              <w:rPr>
                <w:rFonts w:ascii="Arial" w:cs="Arial" w:eastAsia="Arial" w:hAnsi="Arial"/>
                <w:b/>
                <w:bCs/>
                <w:sz w:val="22"/>
                <w:szCs w:val="22"/>
              </w:rPr>
              <w:t xml:space="preserve">F12: Flat File Structure Will Not Scale</w:t>
            </w:r>
          </w:p>
          <w:p>
            <w:pPr>
              <w:spacing w:after="60"/>
            </w:pPr>
            <w:r>
              <w:rPr>
                <w:rFonts w:ascii="Arial" w:cs="Arial" w:eastAsia="Arial" w:hAnsi="Arial"/>
                <w:sz w:val="20"/>
                <w:szCs w:val="20"/>
              </w:rPr>
              <w:t xml:space="preserve">All 15+ components live in a single src/components/ directory. All 8 service modules are in a flat src/lib/ directory. There is no separation of feature modules, shared components, hooks, or utilities. As the application grows (and with 15 industries each with specific questions, it will), this structure becomes increasingly difficult to navigate.</w:t>
            </w:r>
          </w:p>
          <w:p>
            <w:r>
              <w:rPr>
                <w:rFonts w:ascii="Arial" w:cs="Arial" w:eastAsia="Arial" w:hAnsi="Arial"/>
                <w:b/>
                <w:bCs/>
                <w:color w:val="555555"/>
                <w:sz w:val="18"/>
                <w:szCs w:val="18"/>
              </w:rPr>
              <w:t xml:space="preserve">Impact: </w:t>
            </w:r>
            <w:r>
              <w:rPr>
                <w:rFonts w:ascii="Arial" w:cs="Arial" w:eastAsia="Arial" w:hAnsi="Arial"/>
                <w:color w:val="555555"/>
                <w:sz w:val="18"/>
                <w:szCs w:val="18"/>
              </w:rPr>
              <w:t xml:space="preserve">Developer velocity decreases as the codebase grows. New team members struggle with discoverability. Related code is not co-located.</w:t>
            </w:r>
          </w:p>
        </w:tc>
      </w:tr>
    </w:tbl>
    <w:p>
      <w:pPr>
        <w:spacing w:after="80"/>
      </w:pPr>
      <w:r>
        <w:rPr>
          <w:rFonts w:ascii="Arial" w:cs="Arial" w:eastAsia="Arial" w:hAnsi="Arial"/>
          <w:b/>
          <w:bCs/>
          <w:color w:val="27AE60"/>
          <w:sz w:val="20"/>
          <w:szCs w:val="20"/>
        </w:rPr>
        <w:t xml:space="preserve">Remediation: </w:t>
      </w:r>
      <w:r>
        <w:rPr>
          <w:rFonts w:ascii="Arial" w:cs="Arial" w:eastAsia="Arial" w:hAnsi="Arial"/>
          <w:sz w:val="20"/>
          <w:szCs w:val="20"/>
        </w:rPr>
        <w:t xml:space="preserve">Adopt a feature-based folder structure: src/features/assessment/, src/features/analytics/, src/features/auth/, src/features/collaboration/. Each feature folder contains its components, hooks, services, and types. Shared utilities stay in src/shared/.</w:t>
      </w:r>
    </w:p>
    <w:p>
      <w:r>
        <w:br w:type="page"/>
      </w:r>
    </w:p>
    <w:p>
      <w:pPr>
        <w:pStyle w:val="Heading1"/>
        <w:spacing w:after="200" w:before="360"/>
      </w:pPr>
      <w:r>
        <w:rPr>
          <w:rFonts w:ascii="Arial" w:cs="Arial" w:eastAsia="Arial" w:hAnsi="Arial"/>
          <w:b/>
          <w:bCs/>
          <w:color w:val="1B3A5C"/>
          <w:sz w:val="32"/>
          <w:szCs w:val="32"/>
        </w:rPr>
        <w:t xml:space="preserve">5. Additional Observations</w:t>
      </w:r>
    </w:p>
    <w:p>
      <w:pPr>
        <w:pStyle w:val="Heading2"/>
        <w:spacing w:after="160" w:before="240"/>
      </w:pPr>
      <w:r>
        <w:rPr>
          <w:rFonts w:ascii="Arial" w:cs="Arial" w:eastAsia="Arial" w:hAnsi="Arial"/>
          <w:b/>
          <w:bCs/>
          <w:color w:val="2E86C1"/>
          <w:sz w:val="26"/>
          <w:szCs w:val="26"/>
        </w:rPr>
        <w:t xml:space="preserve">5.1 What Works Well</w:t>
      </w:r>
    </w:p>
    <w:p>
      <w:pPr>
        <w:spacing w:after="120"/>
      </w:pPr>
      <w:r>
        <w:rPr>
          <w:rFonts w:ascii="Arial" w:cs="Arial" w:eastAsia="Arial" w:hAnsi="Arial"/>
          <w:sz w:val="20"/>
          <w:szCs w:val="20"/>
        </w:rPr>
        <w:t xml:space="preserve">Despite the issues above, several aspects of the application are well-executed and worth acknowledging:</w:t>
      </w:r>
    </w:p>
    <w:p>
      <w:pPr>
        <w:pStyle w:val="ListParagraph"/>
        <w:numPr>
          <w:ilvl w:val="0"/>
          <w:numId w:val="2"/>
        </w:numPr>
        <w:spacing w:after="80"/>
      </w:pPr>
      <w:r>
        <w:rPr>
          <w:rFonts w:ascii="Arial" w:cs="Arial" w:eastAsia="Arial" w:hAnsi="Arial"/>
          <w:b/>
          <w:bCs/>
          <w:sz w:val="20"/>
          <w:szCs w:val="20"/>
        </w:rPr>
        <w:t xml:space="preserve">Resilient Supabase client: </w:t>
      </w:r>
      <w:r>
        <w:rPr>
          <w:rFonts w:ascii="Arial" w:cs="Arial" w:eastAsia="Arial" w:hAnsi="Arial"/>
          <w:sz w:val="20"/>
          <w:szCs w:val="20"/>
        </w:rPr>
        <w:t xml:space="preserve">The withTimeout, withRetry, and resilientFetch utilities in supabase.js show mature thinking about network reliability. The exponential backoff with jitter is textbook correct.</w:t>
      </w:r>
    </w:p>
    <w:p>
      <w:pPr>
        <w:pStyle w:val="ListParagraph"/>
        <w:numPr>
          <w:ilvl w:val="0"/>
          <w:numId w:val="2"/>
        </w:numPr>
        <w:spacing w:after="80"/>
      </w:pPr>
      <w:r>
        <w:rPr>
          <w:rFonts w:ascii="Arial" w:cs="Arial" w:eastAsia="Arial" w:hAnsi="Arial"/>
          <w:b/>
          <w:bCs/>
          <w:sz w:val="20"/>
          <w:szCs w:val="20"/>
        </w:rPr>
        <w:t xml:space="preserve">Real-time collaboration: </w:t>
      </w:r>
      <w:r>
        <w:rPr>
          <w:rFonts w:ascii="Arial" w:cs="Arial" w:eastAsia="Arial" w:hAnsi="Arial"/>
          <w:sz w:val="20"/>
          <w:szCs w:val="20"/>
        </w:rPr>
        <w:t xml:space="preserve">The CollaborationContext with Supabase Presence, Broadcast, and Postgres Changes is a sophisticated feature. Typing indicators, conflict detection, and section-level awareness are well-implemented.</w:t>
      </w:r>
    </w:p>
    <w:p>
      <w:pPr>
        <w:pStyle w:val="ListParagraph"/>
        <w:numPr>
          <w:ilvl w:val="0"/>
          <w:numId w:val="2"/>
        </w:numPr>
        <w:spacing w:after="80"/>
      </w:pPr>
      <w:r>
        <w:rPr>
          <w:rFonts w:ascii="Arial" w:cs="Arial" w:eastAsia="Arial" w:hAnsi="Arial"/>
          <w:b/>
          <w:bCs/>
          <w:sz w:val="20"/>
          <w:szCs w:val="20"/>
        </w:rPr>
        <w:t xml:space="preserve">Internationalization: </w:t>
      </w:r>
      <w:r>
        <w:rPr>
          <w:rFonts w:ascii="Arial" w:cs="Arial" w:eastAsia="Arial" w:hAnsi="Arial"/>
          <w:sz w:val="20"/>
          <w:szCs w:val="20"/>
        </w:rPr>
        <w:t xml:space="preserve">The i18n system with LanguageContext, browser detection, and complete DE/EN translations is well-structured for a bilingual tool.</w:t>
      </w:r>
    </w:p>
    <w:p>
      <w:pPr>
        <w:pStyle w:val="ListParagraph"/>
        <w:numPr>
          <w:ilvl w:val="0"/>
          <w:numId w:val="2"/>
        </w:numPr>
        <w:spacing w:after="80"/>
      </w:pPr>
      <w:r>
        <w:rPr>
          <w:rFonts w:ascii="Arial" w:cs="Arial" w:eastAsia="Arial" w:hAnsi="Arial"/>
          <w:b/>
          <w:bCs/>
          <w:sz w:val="20"/>
          <w:szCs w:val="20"/>
        </w:rPr>
        <w:t xml:space="preserve">Industry knowledge model: </w:t>
      </w:r>
      <w:r>
        <w:rPr>
          <w:rFonts w:ascii="Arial" w:cs="Arial" w:eastAsia="Arial" w:hAnsi="Arial"/>
          <w:sz w:val="20"/>
          <w:szCs w:val="20"/>
        </w:rPr>
        <w:t xml:space="preserve">The INDUSTRIES constant in constants.js is an impressively thorough domain model covering 15+ industries with SAP-specific questions, regulatory requirements, and contextual hints.</w:t>
      </w:r>
    </w:p>
    <w:p>
      <w:pPr>
        <w:pStyle w:val="ListParagraph"/>
        <w:numPr>
          <w:ilvl w:val="0"/>
          <w:numId w:val="2"/>
        </w:numPr>
        <w:spacing w:after="80"/>
      </w:pPr>
      <w:r>
        <w:rPr>
          <w:rFonts w:ascii="Arial" w:cs="Arial" w:eastAsia="Arial" w:hAnsi="Arial"/>
          <w:b/>
          <w:bCs/>
          <w:sz w:val="20"/>
          <w:szCs w:val="20"/>
        </w:rPr>
        <w:t xml:space="preserve">PKCE auth flow: </w:t>
      </w:r>
      <w:r>
        <w:rPr>
          <w:rFonts w:ascii="Arial" w:cs="Arial" w:eastAsia="Arial" w:hAnsi="Arial"/>
          <w:sz w:val="20"/>
          <w:szCs w:val="20"/>
        </w:rPr>
        <w:t xml:space="preserve">Using flowType: 'pkce' for Supabase auth is the correct modern approach for SPAs.</w:t>
      </w:r>
    </w:p>
    <w:p>
      <w:pPr>
        <w:pStyle w:val="ListParagraph"/>
        <w:numPr>
          <w:ilvl w:val="0"/>
          <w:numId w:val="2"/>
        </w:numPr>
        <w:spacing w:after="80"/>
      </w:pPr>
      <w:r>
        <w:rPr>
          <w:rFonts w:ascii="Arial" w:cs="Arial" w:eastAsia="Arial" w:hAnsi="Arial"/>
          <w:b/>
          <w:bCs/>
          <w:sz w:val="20"/>
          <w:szCs w:val="20"/>
        </w:rPr>
        <w:t xml:space="preserve">Database schema design: </w:t>
      </w:r>
      <w:r>
        <w:rPr>
          <w:rFonts w:ascii="Arial" w:cs="Arial" w:eastAsia="Arial" w:hAnsi="Arial"/>
          <w:sz w:val="20"/>
          <w:szCs w:val="20"/>
        </w:rPr>
        <w:t xml:space="preserve">The original schema.sql is well-designed with proper foreign keys, cascading deletes, indexes on query patterns, and appropriate updated_at triggers.</w:t>
      </w:r>
    </w:p>
    <w:p>
      <w:pPr>
        <w:pStyle w:val="Heading2"/>
        <w:spacing w:after="160" w:before="240"/>
      </w:pPr>
      <w:r>
        <w:rPr>
          <w:rFonts w:ascii="Arial" w:cs="Arial" w:eastAsia="Arial" w:hAnsi="Arial"/>
          <w:b/>
          <w:bCs/>
          <w:color w:val="2E86C1"/>
          <w:sz w:val="26"/>
          <w:szCs w:val="26"/>
        </w:rPr>
        <w:t xml:space="preserve">5.2 Low-Priority Improvements</w:t>
      </w:r>
    </w:p>
    <w:p>
      <w:pPr>
        <w:pStyle w:val="ListParagraph"/>
        <w:numPr>
          <w:ilvl w:val="0"/>
          <w:numId w:val="2"/>
        </w:numPr>
        <w:spacing w:after="80"/>
      </w:pPr>
      <w:r>
        <w:rPr>
          <w:rFonts w:ascii="Arial" w:cs="Arial" w:eastAsia="Arial" w:hAnsi="Arial"/>
          <w:b/>
          <w:bCs/>
          <w:sz w:val="20"/>
          <w:szCs w:val="20"/>
        </w:rPr>
        <w:t xml:space="preserve">TypeScript migration: </w:t>
      </w:r>
      <w:r>
        <w:rPr>
          <w:rFonts w:ascii="Arial" w:cs="Arial" w:eastAsia="Arial" w:hAnsi="Arial"/>
          <w:sz w:val="20"/>
          <w:szCs w:val="20"/>
        </w:rPr>
        <w:t xml:space="preserve">The project has @types/react and @types/react-dom installed but all code is .jsx. Migrating to TypeScript would catch many potential bugs (null access, wrong prop types) at compile time.</w:t>
      </w:r>
    </w:p>
    <w:p>
      <w:pPr>
        <w:pStyle w:val="ListParagraph"/>
        <w:numPr>
          <w:ilvl w:val="0"/>
          <w:numId w:val="2"/>
        </w:numPr>
        <w:spacing w:after="80"/>
      </w:pPr>
      <w:r>
        <w:rPr>
          <w:rFonts w:ascii="Arial" w:cs="Arial" w:eastAsia="Arial" w:hAnsi="Arial"/>
          <w:b/>
          <w:bCs/>
          <w:sz w:val="20"/>
          <w:szCs w:val="20"/>
        </w:rPr>
        <w:t xml:space="preserve">CI/CD pipeline: </w:t>
      </w:r>
      <w:r>
        <w:rPr>
          <w:rFonts w:ascii="Arial" w:cs="Arial" w:eastAsia="Arial" w:hAnsi="Arial"/>
          <w:sz w:val="20"/>
          <w:szCs w:val="20"/>
        </w:rPr>
        <w:t xml:space="preserve">There is no GitHub Actions workflow. The deploy script (gh-pages) is manual. Add automated lint, test, build, and deploy on push to main.</w:t>
      </w:r>
    </w:p>
    <w:p>
      <w:pPr>
        <w:pStyle w:val="ListParagraph"/>
        <w:numPr>
          <w:ilvl w:val="0"/>
          <w:numId w:val="2"/>
        </w:numPr>
        <w:spacing w:after="80"/>
      </w:pPr>
      <w:r>
        <w:rPr>
          <w:rFonts w:ascii="Arial" w:cs="Arial" w:eastAsia="Arial" w:hAnsi="Arial"/>
          <w:b/>
          <w:bCs/>
          <w:sz w:val="20"/>
          <w:szCs w:val="20"/>
        </w:rPr>
        <w:t xml:space="preserve">Structured logging: </w:t>
      </w:r>
      <w:r>
        <w:rPr>
          <w:rFonts w:ascii="Arial" w:cs="Arial" w:eastAsia="Arial" w:hAnsi="Arial"/>
          <w:sz w:val="20"/>
          <w:szCs w:val="20"/>
        </w:rPr>
        <w:t xml:space="preserve">The application uses raw console.log/console.error throughout. In production, these should be replaced with a structured logger that can be toggled off or routed to a monitoring service.</w:t>
      </w:r>
    </w:p>
    <w:p>
      <w:pPr>
        <w:pStyle w:val="ListParagraph"/>
        <w:numPr>
          <w:ilvl w:val="0"/>
          <w:numId w:val="2"/>
        </w:numPr>
        <w:spacing w:after="80"/>
      </w:pPr>
      <w:r>
        <w:rPr>
          <w:rFonts w:ascii="Arial" w:cs="Arial" w:eastAsia="Arial" w:hAnsi="Arial"/>
          <w:b/>
          <w:bCs/>
          <w:sz w:val="20"/>
          <w:szCs w:val="20"/>
        </w:rPr>
        <w:t xml:space="preserve">Environment-specific builds: </w:t>
      </w:r>
      <w:r>
        <w:rPr>
          <w:rFonts w:ascii="Arial" w:cs="Arial" w:eastAsia="Arial" w:hAnsi="Arial"/>
          <w:sz w:val="20"/>
          <w:szCs w:val="20"/>
        </w:rPr>
        <w:t xml:space="preserve">The supabase.js logs the Supabase URL and key prefix in dev mode, which is fine. But there is no distinction between staging and production environments.</w:t>
      </w:r>
    </w:p>
    <w:p>
      <w:r>
        <w:br w:type="page"/>
      </w:r>
    </w:p>
    <w:p>
      <w:pPr>
        <w:pStyle w:val="Heading1"/>
        <w:spacing w:after="200" w:before="360"/>
      </w:pPr>
      <w:r>
        <w:rPr>
          <w:rFonts w:ascii="Arial" w:cs="Arial" w:eastAsia="Arial" w:hAnsi="Arial"/>
          <w:b/>
          <w:bCs/>
          <w:color w:val="1B3A5C"/>
          <w:sz w:val="32"/>
          <w:szCs w:val="32"/>
        </w:rPr>
        <w:t xml:space="preserve">6. Recommended Remediation Priority</w:t>
      </w:r>
    </w:p>
    <w:p>
      <w:pPr>
        <w:spacing w:after="120"/>
      </w:pPr>
      <w:r>
        <w:rPr>
          <w:rFonts w:ascii="Arial" w:cs="Arial" w:eastAsia="Arial" w:hAnsi="Arial"/>
          <w:sz w:val="20"/>
          <w:szCs w:val="20"/>
        </w:rPr>
        <w:t xml:space="preserve">The following is the recommended order of remediation, balancing risk reduction with implementation effort: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4680"/>
        <w:gridCol w:w="234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18"/>
                <w:szCs w:val="18"/>
              </w:rPr>
              <w:t xml:space="preserve">Immediate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AI Hub API key and move to backend proxy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18"/>
                <w:szCs w:val="18"/>
              </w:rPr>
              <w:t xml:space="preserve">Immediate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Revert RLS policies to original schema.sql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sz w:val="18"/>
                <w:szCs w:val="18"/>
              </w:rPr>
              <w:t xml:space="preserve">This week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input sanitization (DOMPurify) and CSP header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sz w:val="18"/>
                <w:szCs w:val="18"/>
              </w:rPr>
              <w:t xml:space="preserve">This week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shared AI config; eliminate duplication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Half day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Next sprint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RBAC in RLS policies and UI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Next sprint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Error Boundaries at router and feature 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Next sprint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Vitest and write scoring.js unit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sz w:val="18"/>
                <w:szCs w:val="18"/>
              </w:rPr>
              <w:t xml:space="preserve">Backlog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score computation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sz w:val="18"/>
                <w:szCs w:val="18"/>
              </w:rPr>
              <w:t xml:space="preserve">Backlog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 CSS Modules or Tailwind for styling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days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sz w:val="18"/>
                <w:szCs w:val="18"/>
              </w:rPr>
              <w:t xml:space="preserve">Backlog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Restructure to feature-based folders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sz w:val="18"/>
                <w:szCs w:val="18"/>
              </w:rPr>
              <w:t xml:space="preserve">Backlog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migration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days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sz w:val="18"/>
                <w:szCs w:val="18"/>
              </w:rPr>
              <w:t xml:space="preserve">Backlog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with GitHub 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r>
    </w:tbl>
    <w:p>
      <w:pPr>
        <w:spacing w:before="400"/>
      </w:pPr>
    </w:p>
    <w:p>
      <w:pPr>
        <w:pBdr>
          <w:top w:val="single" w:color="2E86C1" w:sz="2" w:space="1"/>
        </w:pBdr>
        <w:spacing w:after="200" w:before="200"/>
      </w:pPr>
    </w:p>
    <w:p>
      <w:pPr>
        <w:spacing w:after="120"/>
      </w:pPr>
      <w:r>
        <w:rPr>
          <w:rFonts w:ascii="Arial" w:cs="Arial" w:eastAsia="Arial" w:hAnsi="Arial"/>
          <w:i/>
          <w:iCs/>
          <w:color w:val="7F8C8D"/>
          <w:sz w:val="20"/>
          <w:szCs w:val="20"/>
        </w:rPr>
        <w:t xml:space="preserve">This review was conducted as a read-only static analysis of the source code repository. No changes were made to the codebase. A dynamic penetration test and dependency vulnerability scan (npm audit) are recommended as follow-up activities.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Architecture &amp; Security Review — AI Readiness Check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2026-03-09T10:14:50.544Z</dcterms:created>
  <dcterms:modified xsi:type="dcterms:W3CDTF">2026-03-09T10:14:50.544Z</dcterms:modified>
</cp:coreProperties>
</file>

<file path=docProps/custom.xml><?xml version="1.0" encoding="utf-8"?>
<Properties xmlns="http://schemas.openxmlformats.org/officeDocument/2006/custom-properties" xmlns:vt="http://schemas.openxmlformats.org/officeDocument/2006/docPropsVTypes"/>
</file>