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Trust Without Tunnel Vision</w:t>
      </w:r>
    </w:p>
    <w:p>
      <w:pPr>
        <w:spacing w:after="120"/>
        <w:jc w:val="center"/>
      </w:pPr>
      <w:r>
        <w:rPr>
          <w:i/>
          <w:iCs/>
          <w:sz w:val="28"/>
          <w:szCs w:val="28"/>
        </w:rPr>
        <w:t xml:space="preserve">Syndication Network Density, Diversity, and VC Investment in High-Risk Ventures</w:t>
      </w:r>
    </w:p>
    <w:p>
      <w:pPr>
        <w:spacing w:after="480"/>
        <w:jc w:val="center"/>
      </w:pPr>
      <w:r>
        <w:rPr>
          <w:color w:val="666666"/>
          <w:sz w:val="22"/>
          <w:szCs w:val="22"/>
        </w:rPr>
        <w:t xml:space="preserve">Paper Mapping Document — Draft v1.0</w:t>
      </w:r>
    </w:p>
    <w:p>
      <w:pPr>
        <w:spacing w:after="120"/>
        <w:jc w:val="center"/>
      </w:pPr>
      <w:r>
        <w:rPr>
          <w:sz w:val="24"/>
          <w:szCs w:val="24"/>
        </w:rPr>
        <w:t xml:space="preserve">Julian Waters-Lynch</w:t>
      </w:r>
    </w:p>
    <w:p>
      <w:pPr>
        <w:spacing w:after="120"/>
        <w:jc w:val="center"/>
      </w:pPr>
      <w:r>
        <w:rPr>
          <w:color w:val="666666"/>
          <w:sz w:val="22"/>
          <w:szCs w:val="22"/>
        </w:rPr>
        <w:t xml:space="preserve">Alfaisal University</w:t>
      </w:r>
    </w:p>
    <w:p>
      <w:pPr>
        <w:spacing w:after="480"/>
        <w:jc w:val="center"/>
      </w:pPr>
      <w:r>
        <w:rPr>
          <w:color w:val="666666"/>
          <w:sz w:val="22"/>
          <w:szCs w:val="22"/>
        </w:rPr>
        <w:t xml:space="preserve">December 2025</w:t>
      </w:r>
    </w:p>
    <w:p>
      <w:pPr>
        <w:jc w:val="center"/>
      </w:pPr>
      <w:r>
        <w:rPr>
          <w:b/>
          <w:bCs/>
          <w:color w:val="c53030"/>
          <w:sz w:val="22"/>
          <w:szCs w:val="22"/>
        </w:rPr>
        <w:t xml:space="preserve">Target: AIB Africa 2026 Conference (Nairobi, 27-29 May 2026)</w:t>
      </w:r>
    </w:p>
    <w:p>
      <w:pPr>
        <w:jc w:val="center"/>
      </w:pPr>
      <w:r>
        <w:rPr>
          <w:color w:val="c53030"/>
          <w:sz w:val="22"/>
          <w:szCs w:val="22"/>
        </w:rPr>
        <w:t xml:space="preserve">Submission Deadline: 2 February 2026</w:t>
      </w:r>
    </w:p>
    <w:p>
      <w:r>
        <w:br w:type="page"/>
      </w:r>
    </w:p>
    <w:p>
      <w:pPr>
        <w:pStyle w:val="Heading1"/>
      </w:pPr>
      <w:r>
        <w:t xml:space="preserve">Section 1: Design Freeze</w:t>
      </w:r>
    </w:p>
    <w:p>
      <w:pPr>
        <w:spacing w:after="200"/>
      </w:pPr>
      <w:r>
        <w:rPr>
          <w:i/>
          <w:iCs/>
          <w:color w:val="666666"/>
        </w:rPr>
        <w:t xml:space="preserve">This one-page specification locks key methodological decisions to prevent scope creep.</w:t>
      </w:r>
    </w:p>
    <w:p>
      <w:pPr>
        <w:pStyle w:val="Heading2"/>
      </w:pPr>
      <w:r>
        <w:t xml:space="preserve">1.1 Research Question</w:t>
      </w:r>
    </w:p>
    <w:p>
      <w:pPr>
        <w:spacing w:after="200"/>
      </w:pPr>
      <w:r>
        <w:rPr>
          <w:sz w:val="24"/>
          <w:szCs w:val="24"/>
        </w:rPr>
        <w:t xml:space="preserve">When does venture capital syndication network density facilitate judicious risk-taking into high-risk ventures (HRV), and when does it generate herding and conformity? We argue that network diversity is the switch condition: dense networks with high diversity enable informed risk-taking; dense networks with low diversity produce correlated errors and cascade behavior.</w:t>
      </w:r>
    </w:p>
    <w:p>
      <w:pPr>
        <w:pStyle w:val="Heading2"/>
      </w:pPr>
      <w:r>
        <w:t xml:space="preserve">1.2 Empirical Setting</w:t>
      </w:r>
    </w:p>
    <w:p>
      <w:pPr>
        <w:pStyle w:val="ListParagraph"/>
        <w:numPr>
          <w:ilvl w:val="0"/>
          <w:numId w:val="2"/>
        </w:numPr>
      </w:pPr>
      <w:r>
        <w:rPr>
          <w:b/>
          <w:bCs/>
        </w:rPr>
        <w:t xml:space="preserve">Primary setting: </w:t>
      </w:r>
      <w:r>
        <w:t xml:space="preserve">African VC ecosystem (2015–2024)</w:t>
      </w:r>
    </w:p>
    <w:p>
      <w:pPr>
        <w:pStyle w:val="ListParagraph"/>
        <w:numPr>
          <w:ilvl w:val="0"/>
          <w:numId w:val="2"/>
        </w:numPr>
      </w:pPr>
      <w:r>
        <w:rPr>
          <w:b/>
          <w:bCs/>
        </w:rPr>
        <w:t xml:space="preserve">Rationale: </w:t>
      </w:r>
      <w:r>
        <w:t xml:space="preserve">(1) Institutional voids sharpen theoretical test—networks substitute for missing information institutions; (2) Less crowded empirical space; (3) Data more accessible via Partech reports + manual collection; (4) Fits AIB Africa 2026</w:t>
      </w:r>
    </w:p>
    <w:p>
      <w:pPr>
        <w:pStyle w:val="ListParagraph"/>
        <w:numPr>
          <w:ilvl w:val="0"/>
          <w:numId w:val="2"/>
        </w:numPr>
      </w:pPr>
      <w:r>
        <w:rPr>
          <w:b/>
          <w:bCs/>
        </w:rPr>
        <w:t xml:space="preserve">Network boundary: </w:t>
      </w:r>
      <w:r>
        <w:t xml:space="preserve">Africa-only syndication ties (Option A). Ties count when VC pair co-invests in an African venture. Interpretation: Africa-specific closure.</w:t>
      </w:r>
    </w:p>
    <w:p>
      <w:pPr>
        <w:pStyle w:val="ListParagraph"/>
        <w:numPr>
          <w:ilvl w:val="0"/>
          <w:numId w:val="2"/>
        </w:numPr>
        <w:spacing w:after="200"/>
      </w:pPr>
      <w:r>
        <w:rPr>
          <w:b/>
          <w:bCs/>
        </w:rPr>
        <w:t xml:space="preserve">Extension (if data permits): </w:t>
      </w:r>
      <w:r>
        <w:t xml:space="preserve">Rebuild global co-investment history for Africa-active investors to capture prior ties regardless of geography.</w:t>
      </w:r>
    </w:p>
    <w:p>
      <w:pPr>
        <w:pStyle w:val="Heading2"/>
      </w:pPr>
      <w:r>
        <w:t xml:space="preserve">1.3 Unit of Analysis</w:t>
      </w:r>
    </w:p>
    <w:p>
      <w:pPr>
        <w:pStyle w:val="ListParagraph"/>
        <w:numPr>
          <w:ilvl w:val="0"/>
          <w:numId w:val="2"/>
        </w:numPr>
      </w:pPr>
      <w:r>
        <w:rPr>
          <w:b/>
          <w:bCs/>
        </w:rPr>
        <w:t xml:space="preserve">Primary: </w:t>
      </w:r>
      <w:r>
        <w:t xml:space="preserve">Deal-level — Pr(VC i participates in HRV deal d at time t)</w:t>
      </w:r>
    </w:p>
    <w:p>
      <w:pPr>
        <w:pStyle w:val="ListParagraph"/>
        <w:numPr>
          <w:ilvl w:val="0"/>
          <w:numId w:val="2"/>
        </w:numPr>
        <w:spacing w:after="200"/>
      </w:pPr>
      <w:r>
        <w:rPr>
          <w:b/>
          <w:bCs/>
        </w:rPr>
        <w:t xml:space="preserve">Robustness: </w:t>
      </w:r>
      <w:r>
        <w:t xml:space="preserve">VC-year — Share of VC i's deals in year t that are HRV</w:t>
      </w:r>
    </w:p>
    <w:p>
      <w:pPr>
        <w:pStyle w:val="Heading2"/>
      </w:pPr>
      <w:r>
        <w:t xml:space="preserve">1.4 Key Constructs &amp; Primary Measures</w:t>
      </w:r>
    </w:p>
    <w:p>
      <w:pPr>
        <w:pStyle w:val="ListParagraph"/>
        <w:numPr>
          <w:ilvl w:val="0"/>
          <w:numId w:val="2"/>
        </w:numPr>
      </w:pPr>
      <w:r>
        <w:rPr>
          <w:b/>
          <w:bCs/>
        </w:rPr>
        <w:t xml:space="preserve">DV — High-Risk Venture (HRV): </w:t>
      </w:r>
      <w:r>
        <w:t xml:space="preserve">Seed/Series A stage × Deep-tech or novel sector (fintech, cleantech, healthtech, agritech). Binary indicator.</w:t>
      </w:r>
    </w:p>
    <w:p>
      <w:pPr>
        <w:pStyle w:val="ListParagraph"/>
        <w:numPr>
          <w:ilvl w:val="0"/>
          <w:numId w:val="2"/>
        </w:numPr>
      </w:pPr>
      <w:r>
        <w:rPr>
          <w:b/>
          <w:bCs/>
        </w:rPr>
        <w:t xml:space="preserve">IV — Network Density (NDe): </w:t>
      </w:r>
      <w:r>
        <w:t xml:space="preserve">Ego-network density for focal VC (proportion of VC's co-investment partners who have also co-invested with each other). Rolling 3-year window.</w:t>
      </w:r>
    </w:p>
    <w:p>
      <w:pPr>
        <w:pStyle w:val="ListParagraph"/>
        <w:numPr>
          <w:ilvl w:val="0"/>
          <w:numId w:val="2"/>
        </w:numPr>
      </w:pPr>
      <w:r>
        <w:rPr>
          <w:b/>
          <w:bCs/>
        </w:rPr>
        <w:t xml:space="preserve">Moderator — Network Diversity (NDi): </w:t>
      </w:r>
      <w:r>
        <w:t xml:space="preserve">Blau index across syndicate partner characteristics: (a) investor type (IVC/CVC/DFI/angel), (b) geographic origin (local/regional/international), (c) sector focus, (d) stage specialization.</w:t>
      </w:r>
    </w:p>
    <w:p>
      <w:pPr>
        <w:pStyle w:val="ListParagraph"/>
        <w:numPr>
          <w:ilvl w:val="0"/>
          <w:numId w:val="2"/>
        </w:numPr>
        <w:spacing w:after="200"/>
      </w:pPr>
      <w:r>
        <w:rPr>
          <w:b/>
          <w:bCs/>
        </w:rPr>
        <w:t xml:space="preserve">Interaction: </w:t>
      </w:r>
      <w:r>
        <w:t xml:space="preserve">NDe × NDi (mean-centered)</w:t>
      </w:r>
    </w:p>
    <w:p>
      <w:pPr>
        <w:pStyle w:val="Heading2"/>
      </w:pPr>
      <w:r>
        <w:t xml:space="preserve">1.5 Controls &amp; Fixed Effects</w:t>
      </w:r>
    </w:p>
    <w:p>
      <w:pPr>
        <w:pStyle w:val="ListParagraph"/>
        <w:numPr>
          <w:ilvl w:val="0"/>
          <w:numId w:val="2"/>
        </w:numPr>
      </w:pPr>
      <w:r>
        <w:rPr>
          <w:b/>
          <w:bCs/>
        </w:rPr>
        <w:t xml:space="preserve">VC-level: </w:t>
      </w:r>
      <w:r>
        <w:t xml:space="preserve">Fund age, fund size (AUM proxy), prior Africa deals, network centrality</w:t>
      </w:r>
    </w:p>
    <w:p>
      <w:pPr>
        <w:pStyle w:val="ListParagraph"/>
        <w:numPr>
          <w:ilvl w:val="0"/>
          <w:numId w:val="2"/>
        </w:numPr>
      </w:pPr>
      <w:r>
        <w:rPr>
          <w:b/>
          <w:bCs/>
        </w:rPr>
        <w:t xml:space="preserve">Deal-level: </w:t>
      </w:r>
      <w:r>
        <w:t xml:space="preserve">Round size, syndicate size, founder characteristics (if available)</w:t>
      </w:r>
    </w:p>
    <w:p>
      <w:pPr>
        <w:pStyle w:val="ListParagraph"/>
        <w:numPr>
          <w:ilvl w:val="0"/>
          <w:numId w:val="2"/>
        </w:numPr>
      </w:pPr>
      <w:r>
        <w:rPr>
          <w:b/>
          <w:bCs/>
        </w:rPr>
        <w:t xml:space="preserve">Context: </w:t>
      </w:r>
      <w:r>
        <w:t xml:space="preserve">Country, year, sector</w:t>
      </w:r>
    </w:p>
    <w:p>
      <w:pPr>
        <w:pStyle w:val="ListParagraph"/>
        <w:numPr>
          <w:ilvl w:val="0"/>
          <w:numId w:val="2"/>
        </w:numPr>
        <w:spacing w:after="200"/>
      </w:pPr>
      <w:r>
        <w:rPr>
          <w:b/>
          <w:bCs/>
        </w:rPr>
        <w:t xml:space="preserve">Fixed effects: </w:t>
      </w:r>
      <w:r>
        <w:t xml:space="preserve">Year FE, Country FE, Sector FE (or Country×Year FE if sample permits)</w:t>
      </w:r>
    </w:p>
    <w:p>
      <w:pPr>
        <w:pStyle w:val="Heading2"/>
      </w:pPr>
      <w:r>
        <w:t xml:space="preserve">1.6 Estimation Strategy</w:t>
      </w:r>
    </w:p>
    <w:p>
      <w:pPr>
        <w:pStyle w:val="ListParagraph"/>
        <w:numPr>
          <w:ilvl w:val="0"/>
          <w:numId w:val="2"/>
        </w:numPr>
      </w:pPr>
      <w:r>
        <w:t xml:space="preserve">Logistic regression (deal-level binary DV) or OLS (VC-year share DV)</w:t>
      </w:r>
    </w:p>
    <w:p>
      <w:pPr>
        <w:pStyle w:val="ListParagraph"/>
        <w:numPr>
          <w:ilvl w:val="0"/>
          <w:numId w:val="2"/>
        </w:numPr>
      </w:pPr>
      <w:r>
        <w:t xml:space="preserve">Cluster-robust standard errors at VC level</w:t>
      </w:r>
    </w:p>
    <w:p>
      <w:pPr>
        <w:pStyle w:val="ListParagraph"/>
        <w:numPr>
          <w:ilvl w:val="0"/>
          <w:numId w:val="2"/>
        </w:numPr>
      </w:pPr>
      <w:r>
        <w:t xml:space="preserve">Lagged network measures (t-1) to reduce simultaneity</w:t>
      </w:r>
    </w:p>
    <w:p>
      <w:pPr>
        <w:pStyle w:val="ListParagraph"/>
        <w:numPr>
          <w:ilvl w:val="0"/>
          <w:numId w:val="2"/>
        </w:numPr>
      </w:pPr>
      <w:r>
        <w:t xml:space="preserve">Marginal effects plots showing density effect at low/medium/high diversity</w:t>
      </w:r>
    </w:p>
    <w:p>
      <w:r>
        <w:br w:type="page"/>
      </w:r>
    </w:p>
    <w:p>
      <w:pPr>
        <w:pStyle w:val="Heading1"/>
      </w:pPr>
      <w:r>
        <w:t xml:space="preserve">Section 2: Theoretical Logic Chain</w:t>
      </w:r>
    </w:p>
    <w:p>
      <w:pPr>
        <w:pStyle w:val="Heading2"/>
      </w:pPr>
      <w:r>
        <w:t xml:space="preserve">2.1 The Puzzle: Density as Double-Edged Sword</w:t>
      </w:r>
    </w:p>
    <w:p>
      <w:pPr>
        <w:spacing w:after="200"/>
      </w:pPr>
      <w:r>
        <w:t xml:space="preserve">Dense VC syndication networks are simultaneously associated with (a) superior investment performance and bolder investment into distant/unfamiliar opportunities, and (b) herding, information cascades, and collective mistakes. How can the same structural feature produce opposing outcomes? We argue the answer lies in network composition: density's effect depends on whether the network aggregates diverse or redundant information.</w:t>
      </w:r>
    </w:p>
    <w:p>
      <w:pPr>
        <w:pStyle w:val="Heading2"/>
      </w:pPr>
      <w:r>
        <w:t xml:space="preserve">2.2 Step A: Why Density Could Increase HRV Investment</w:t>
      </w:r>
    </w:p>
    <w:p>
      <w:pPr>
        <w:spacing w:after="100"/>
      </w:pPr>
      <w:r>
        <w:rPr>
          <w:b/>
          <w:bCs/>
        </w:rPr>
        <w:t xml:space="preserve">Mechanisms: </w:t>
      </w:r>
      <w:r>
        <w:t xml:space="preserve">Information transfer, trust under ambiguity, risk-sharing, coordinated governance</w:t>
      </w:r>
    </w:p>
    <w:p>
      <w:pPr>
        <w:spacing w:after="100"/>
      </w:pPr>
      <w:r>
        <w:rPr>
          <w:b/>
          <w:bCs/>
        </w:rPr>
        <w:t xml:space="preserve">Logic: </w:t>
      </w:r>
      <w:r>
        <w:t xml:space="preserve">Dense/repeated ties create channels for soft information (founder quality signals, technical assessments, market intelligence) that cannot be transmitted at arm's length. Trust accumulated through prior collaboration enables VCs to act on ambiguous signals rather than waiting for hard evidence. Risk-sharing across trusted partners reduces individual exposure, enabling bolder bets. Coordinated governance capacity (board seats, follow-on financing) reduces execution risk.</w:t>
      </w:r>
    </w:p>
    <w:p>
      <w:pPr>
        <w:spacing w:after="200"/>
      </w:pPr>
      <w:r>
        <w:rPr>
          <w:b/>
          <w:bCs/>
        </w:rPr>
        <w:t xml:space="preserve">Evidence anchors: </w:t>
      </w:r>
      <w:r>
        <w:t xml:space="preserve">Hochberg et al. (2007) — network centrality predicts performance; Sorenson &amp; Stuart (2001) — networks enable investment in distant/unfamiliar ventures; Brander et al. (2002) — syndication adds value beyond selection.</w:t>
      </w:r>
    </w:p>
    <w:p>
      <w:pPr>
        <w:pStyle w:val="Heading2"/>
      </w:pPr>
      <w:r>
        <w:t xml:space="preserve">2.3 Step B: Why Density Could Decrease HRV Investment (or Produce 'Wrong' HRV)</w:t>
      </w:r>
    </w:p>
    <w:p>
      <w:pPr>
        <w:spacing w:after="100"/>
      </w:pPr>
      <w:r>
        <w:rPr>
          <w:b/>
          <w:bCs/>
        </w:rPr>
        <w:t xml:space="preserve">Mechanisms: </w:t>
      </w:r>
      <w:r>
        <w:t xml:space="preserve">Reputational herding, information cascades, redundant signals, normative conformity</w:t>
      </w:r>
    </w:p>
    <w:p>
      <w:pPr>
        <w:spacing w:after="100"/>
      </w:pPr>
      <w:r>
        <w:rPr>
          <w:b/>
          <w:bCs/>
        </w:rPr>
        <w:t xml:space="preserve">Logic: </w:t>
      </w:r>
      <w:r>
        <w:t xml:space="preserve">In tightly-knit networks where actions are observable, actors may follow predecessors to avoid reputational damage from divergent failure ('failing conventionally'). Information cascades occur when later investors ignore private signals and infer quality from others' decisions. Homophilous networks produce redundant information — everyone knows the same things and shares the same blind spots. Normative pressure in cohesive groups suppresses dissent and contrarian viewpoints.</w:t>
      </w:r>
    </w:p>
    <w:p>
      <w:pPr>
        <w:spacing w:after="200"/>
      </w:pPr>
      <w:r>
        <w:rPr>
          <w:b/>
          <w:bCs/>
        </w:rPr>
        <w:t xml:space="preserve">Evidence anchors: </w:t>
      </w:r>
      <w:r>
        <w:t xml:space="preserve">Banerjee (1992) — herding model; Zhang et al. (2021) — VC herding in China hurts performance; Vismara (2018) — cascades in equity crowdfunding; Gompers et al. (2016) — homophilous VC partnerships underperform.</w:t>
      </w:r>
    </w:p>
    <w:p>
      <w:pPr>
        <w:pStyle w:val="Heading2"/>
      </w:pPr>
      <w:r>
        <w:t xml:space="preserve">2.4 Step C: Why Diversity is the Switch Condition</w:t>
      </w:r>
    </w:p>
    <w:p>
      <w:pPr>
        <w:spacing w:after="100"/>
      </w:pPr>
      <w:r>
        <w:rPr>
          <w:b/>
          <w:bCs/>
        </w:rPr>
        <w:t xml:space="preserve">Theoretical foundations: </w:t>
      </w:r>
    </w:p>
    <w:p>
      <w:pPr>
        <w:pStyle w:val="ListParagraph"/>
        <w:numPr>
          <w:ilvl w:val="0"/>
          <w:numId w:val="2"/>
        </w:numPr>
      </w:pPr>
      <w:r>
        <w:rPr>
          <w:b/>
          <w:bCs/>
        </w:rPr>
        <w:t xml:space="preserve">Requisite variety (Ashby, 1956): </w:t>
      </w:r>
      <w:r>
        <w:t xml:space="preserve">'Only variety can absorb variety.' Complex, uncertain environments require internal variety in the decision system to adequately process environmental signals.</w:t>
      </w:r>
    </w:p>
    <w:p>
      <w:pPr>
        <w:pStyle w:val="ListParagraph"/>
        <w:numPr>
          <w:ilvl w:val="0"/>
          <w:numId w:val="2"/>
        </w:numPr>
      </w:pPr>
      <w:r>
        <w:rPr>
          <w:b/>
          <w:bCs/>
        </w:rPr>
        <w:t xml:space="preserve">Optimal cognitive distance (Nooteboom et al., 2007): </w:t>
      </w:r>
      <w:r>
        <w:t xml:space="preserve">Innovation performance follows an inverted-U with cognitive distance. Too little distance = no novelty; too much distance = insufficient mutual understanding. Effect is stronger for exploratory (vs. exploitative) alliances.</w:t>
      </w:r>
    </w:p>
    <w:p>
      <w:pPr>
        <w:spacing w:after="100"/>
      </w:pPr>
      <w:r>
        <w:rPr>
          <w:b/>
          <w:bCs/>
        </w:rPr>
        <w:t xml:space="preserve">Application to VC: </w:t>
      </w:r>
      <w:r>
        <w:t xml:space="preserve">HRV investing is a high-uncertainty classification task under ambiguity. Diverse syndicate compositions provide: (a) non-redundant information from different vantage points, (b) competing interpretations that surface assumptions, (c) heterogeneous networks for due diligence and support. This breaks the conditions for cascade behavior — when partners bring genuinely different information, following others becomes less rational.</w:t>
      </w:r>
    </w:p>
    <w:p>
      <w:pPr>
        <w:spacing w:after="200"/>
      </w:pPr>
      <w:r>
        <w:rPr>
          <w:b/>
          <w:bCs/>
        </w:rPr>
        <w:t xml:space="preserve">Boundary condition from Nooteboom: </w:t>
      </w:r>
      <w:r>
        <w:t xml:space="preserve">Very high diversity may create coordination costs and mutual incomprehension. The benefit of diversity may plateau or reverse at extremes (potential inverted-U, tested as robustness).</w:t>
      </w:r>
    </w:p>
    <w:p>
      <w:pPr>
        <w:pStyle w:val="Heading2"/>
      </w:pPr>
      <w:r>
        <w:t xml:space="preserve">2.5 Step D: Why the Interaction is Empirically Plausible</w:t>
      </w:r>
    </w:p>
    <w:p>
      <w:pPr>
        <w:spacing w:after="100"/>
      </w:pPr>
      <w:r>
        <w:rPr>
          <w:b/>
          <w:bCs/>
        </w:rPr>
        <w:t xml:space="preserve">Direct moderation evidence: </w:t>
      </w:r>
      <w:r>
        <w:t xml:space="preserve">Buchner et al. (2025) show that experience diversity among syndicated members attenuates the negative relationship between repeated syndication and VC performance. This provides a 'moderation template' — diversity changes what closure/repetition does.</w:t>
      </w:r>
    </w:p>
    <w:p>
      <w:pPr>
        <w:spacing w:after="100"/>
      </w:pPr>
      <w:r>
        <w:rPr>
          <w:b/>
          <w:bCs/>
        </w:rPr>
        <w:t xml:space="preserve">Structural theory support: </w:t>
      </w:r>
      <w:r>
        <w:t xml:space="preserve">Ahuja (2000) finds structural holes can harm innovation when coordination/trust is needed. Burt's integration argument: optimal social capital combines closure (trust, coordination) with bridging ties (diverse information). Dense networks with bridging diversity may outperform either pure closure or pure brokerage.</w:t>
      </w:r>
    </w:p>
    <w:p>
      <w:pPr>
        <w:spacing w:after="200"/>
      </w:pPr>
      <w:r>
        <w:rPr>
          <w:b/>
          <w:bCs/>
        </w:rPr>
        <w:t xml:space="preserve">Our contribution relative to Buchner: </w:t>
      </w:r>
      <w:r>
        <w:t xml:space="preserve">They test repeated syndication → performance (ex post). We test network density → HRV selection (ex ante risk-taking). The DV shift is theoretically meaningful: selection is upstream of performance.</w:t>
      </w:r>
    </w:p>
    <w:p>
      <w:pPr>
        <w:pStyle w:val="Heading2"/>
      </w:pPr>
      <w:r>
        <w:t xml:space="preserve">2.6 Why Africa Sharpens the Theoretical Test</w:t>
      </w:r>
    </w:p>
    <w:p>
      <w:pPr>
        <w:spacing w:after="100"/>
      </w:pPr>
      <w:r>
        <w:rPr>
          <w:b/>
          <w:bCs/>
        </w:rPr>
        <w:t xml:space="preserve">Institutional voids logic: </w:t>
      </w:r>
      <w:r>
        <w:t xml:space="preserve">In contexts with weak formal institutions (contract enforcement, information intermediaries, regulatory clarity), informal networks become more central to economic action. Networks substitute for missing institutional infrastructure by providing: (a) trusted referral channels, (b) reputation systems, (c) governance capacity through relationships rather than contracts.</w:t>
      </w:r>
    </w:p>
    <w:p>
      <w:pPr>
        <w:spacing w:after="100"/>
      </w:pPr>
      <w:r>
        <w:rPr>
          <w:b/>
          <w:bCs/>
        </w:rPr>
        <w:t xml:space="preserve">Theoretical prediction: </w:t>
      </w:r>
      <w:r>
        <w:t xml:space="preserve">The density → HRV relationship should be stronger in high-uncertainty institutional environments (networks matter more). But so should the danger of correlated errors in homogeneous networks (less independent verification from formal institutions). Thus, the density × diversity interaction may be amplified in Africa relative to developed markets.</w:t>
      </w:r>
    </w:p>
    <w:p>
      <w:pPr>
        <w:spacing w:after="200"/>
      </w:pPr>
      <w:r>
        <w:rPr>
          <w:b/>
          <w:bCs/>
        </w:rPr>
        <w:t xml:space="preserve">Evidence anchor: </w:t>
      </w:r>
      <w:r>
        <w:t xml:space="preserve">Kabengele &amp; Hahn (2025, JIBS) find that investor homophily in Africa systematically disadvantages local founders, while diverse (diaspora/international) network ties help overcome funding bias. This supports both the homophily-as-harm and diversity-as-solution mechanisms in the African context.</w:t>
      </w:r>
    </w:p>
    <w:p>
      <w:r>
        <w:br w:type="page"/>
      </w:r>
    </w:p>
    <w:p>
      <w:pPr>
        <w:pStyle w:val="Heading1"/>
      </w:pPr>
      <w:r>
        <w:t xml:space="preserve">Section 3: Hypotheses</w:t>
      </w:r>
    </w:p>
    <w:p>
      <w:pPr>
        <w:pStyle w:val="Heading2"/>
      </w:pPr>
      <w:r>
        <w:t xml:space="preserve">Core Hypothesis Set (Linear + Interaction)</w:t>
      </w:r>
    </w:p>
    <w:p>
      <w:pPr>
        <w:spacing w:after="200"/>
      </w:pPr>
      <w:r>
        <w:rPr>
          <w:i/>
          <w:iCs/>
        </w:rPr>
        <w:t xml:space="preserve">Note: </w:t>
      </w:r>
      <w:r>
        <w:rPr>
          <w:i/>
          <w:iCs/>
        </w:rPr>
        <w:t xml:space="preserve">With the interaction in the model, the coefficient on density (H1) represents the effect when diversity equals its mean (if centered) or zero. The net effect of density depends on diversity level, which is the core theoretical claim.</w:t>
      </w:r>
    </w:p>
    <w:p>
      <w:pPr>
        <w:shd w:fill="f0f4f8" w:val="clear"/>
        <w:spacing w:before="200" w:after="100"/>
      </w:pPr>
      <w:r>
        <w:rPr>
          <w:b/>
          <w:bCs/>
        </w:rPr>
        <w:t xml:space="preserve">H1 (Density main effect): </w:t>
      </w:r>
      <w:r>
        <w:t xml:space="preserve">Network density is positively associated with investment in high-risk ventures.</w:t>
      </w:r>
    </w:p>
    <w:p>
      <w:pPr>
        <w:spacing w:after="100"/>
      </w:pPr>
      <w:r>
        <w:rPr>
          <w:i/>
          <w:iCs/>
        </w:rPr>
        <w:t xml:space="preserve">Mechanism: </w:t>
      </w:r>
      <w:r>
        <w:t xml:space="preserve">Dense ties provide trust, soft information transfer, and risk-sharing capacity that enable VCs to act on ambiguous opportunities.</w:t>
      </w:r>
    </w:p>
    <w:p>
      <w:pPr>
        <w:spacing w:after="200"/>
      </w:pPr>
      <w:r>
        <w:rPr>
          <w:i/>
          <w:iCs/>
        </w:rPr>
        <w:t xml:space="preserve">Key citations: </w:t>
      </w:r>
      <w:r>
        <w:t xml:space="preserve">Hochberg et al. (2007); Sorenson &amp; Stuart (2001); Brander et al. (2002)</w:t>
      </w:r>
    </w:p>
    <w:p>
      <w:pPr>
        <w:shd w:fill="f0f4f8" w:val="clear"/>
        <w:spacing w:before="200" w:after="100"/>
      </w:pPr>
      <w:r>
        <w:rPr>
          <w:b/>
          <w:bCs/>
        </w:rPr>
        <w:t xml:space="preserve">H2 (Interaction): </w:t>
      </w:r>
      <w:r>
        <w:t xml:space="preserve">Network diversity positively moderates the relationship between density and HRV investment. The positive effect of density on HRV investment is stronger when network diversity is high, and weaker (or negative) when network diversity is low.</w:t>
      </w:r>
    </w:p>
    <w:p>
      <w:pPr>
        <w:spacing w:after="100"/>
      </w:pPr>
      <w:r>
        <w:rPr>
          <w:i/>
          <w:iCs/>
        </w:rPr>
        <w:t xml:space="preserve">Mechanism: </w:t>
      </w:r>
      <w:r>
        <w:t xml:space="preserve">Diversity provides non-redundant information and competing interpretations that enable dense networks to aggregate judgment rather than amplify conformity. Low diversity transforms dense networks into echo chambers where redundant signals and reputational pressure produce herding.</w:t>
      </w:r>
    </w:p>
    <w:p>
      <w:pPr>
        <w:spacing w:after="200"/>
      </w:pPr>
      <w:r>
        <w:rPr>
          <w:i/>
          <w:iCs/>
        </w:rPr>
        <w:t xml:space="preserve">Key citations: </w:t>
      </w:r>
      <w:r>
        <w:t xml:space="preserve">Buchner et al. (2025) — moderation precedent; Ashby (1956) — requisite variety; Nooteboom et al. (2007) — cognitive distance; Gompers et al. (2016) — homophily costs</w:t>
      </w:r>
    </w:p>
    <w:p>
      <w:pPr>
        <w:shd w:fill="f0f4f8" w:val="clear"/>
        <w:spacing w:before="200" w:after="100"/>
      </w:pPr>
      <w:r>
        <w:rPr>
          <w:b/>
          <w:bCs/>
        </w:rPr>
        <w:t xml:space="preserve">H3 (Diversity main effect): </w:t>
      </w:r>
      <w:r>
        <w:t xml:space="preserve">Network diversity is positively associated with investment in high-risk ventures.</w:t>
      </w:r>
    </w:p>
    <w:p>
      <w:pPr>
        <w:spacing w:after="100"/>
      </w:pPr>
      <w:r>
        <w:rPr>
          <w:i/>
          <w:iCs/>
        </w:rPr>
        <w:t xml:space="preserve">Mechanism: </w:t>
      </w:r>
      <w:r>
        <w:t xml:space="preserve">Diverse networks provide broader opportunity recognition, heterogeneous evaluation inputs, and access to varied resources that expand the VC's capacity to identify and support novel ventures.</w:t>
      </w:r>
    </w:p>
    <w:p>
      <w:pPr>
        <w:spacing w:after="200"/>
      </w:pPr>
      <w:r>
        <w:rPr>
          <w:i/>
          <w:iCs/>
        </w:rPr>
        <w:t xml:space="preserve">Key citations: </w:t>
      </w:r>
      <w:r>
        <w:t xml:space="preserve">Burt (2005) — brokerage advantages; Kabengele &amp; Hahn (2025) — diverse networks overcome funding bias</w:t>
      </w:r>
    </w:p>
    <w:p>
      <w:pPr>
        <w:pStyle w:val="Heading2"/>
      </w:pPr>
      <w:r>
        <w:t xml:space="preserve">Robustness Extension</w:t>
      </w:r>
    </w:p>
    <w:p>
      <w:pPr>
        <w:shd w:fill="fff5f5" w:val="clear"/>
        <w:spacing w:before="100" w:after="100"/>
      </w:pPr>
      <w:r>
        <w:rPr>
          <w:b/>
          <w:bCs/>
        </w:rPr>
        <w:t xml:space="preserve">H3' (Diversity inverted-U — robustness): </w:t>
      </w:r>
      <w:r>
        <w:t xml:space="preserve">Network diversity has an inverted-U relationship with HRV investment. Moderate diversity increases HRV investment through requisite variety; very high diversity decreases HRV investment due to coordination costs and mutual incomprehension.</w:t>
      </w:r>
    </w:p>
    <w:p>
      <w:pPr>
        <w:spacing w:after="200"/>
      </w:pPr>
      <w:r>
        <w:rPr>
          <w:i/>
          <w:iCs/>
        </w:rPr>
        <w:t xml:space="preserve">Test: </w:t>
      </w:r>
      <w:r>
        <w:t xml:space="preserve">Include quadratic term for diversity. Report if significant, but keep linear as headline unless non-linearity is strong.</w:t>
      </w:r>
    </w:p>
    <w:p>
      <w:r>
        <w:br w:type="page"/>
      </w:r>
    </w:p>
    <w:p>
      <w:pPr>
        <w:pStyle w:val="Heading1"/>
      </w:pPr>
      <w:r>
        <w:t xml:space="preserve">Section 4: Measurement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Construct</w:t>
            </w:r>
          </w:p>
        </w:tc>
        <w:tc>
          <w:tcPr>
            <w:tcW w:type="dxa" w:w="24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Primary Measure</w:t>
            </w:r>
          </w:p>
        </w:tc>
        <w:tc>
          <w:tcPr>
            <w:tcW w:type="dxa" w:w="24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Robustness</w:t>
            </w:r>
          </w:p>
        </w:tc>
        <w:tc>
          <w:tcPr>
            <w:tcW w:type="dxa" w:w="27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Data Source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DV: High-Risk Venture (HRV)</w:t>
            </w:r>
          </w:p>
        </w:tc>
        <w:tc>
          <w:tcPr>
            <w:tcW w:type="dxa" w:w="2400"/>
            <w:tcBorders>
              <w:top w:val="single" w:color="CCCCCC" w:sz="1"/>
              <w:left w:val="single" w:color="CCCCCC" w:sz="1"/>
              <w:bottom w:val="single" w:color="CCCCCC" w:sz="1"/>
              <w:right w:val="single" w:color="CCCCCC" w:sz="1"/>
            </w:tcBorders>
          </w:tcPr>
          <w:p>
            <w:r>
              <w:rPr>
                <w:sz w:val="20"/>
                <w:szCs w:val="20"/>
              </w:rPr>
              <w:t xml:space="preserve">Binary: Seed/Series A × Deep-tech sector (fintech, cleantech, healthtech, agritech)</w:t>
            </w:r>
          </w:p>
        </w:tc>
        <w:tc>
          <w:tcPr>
            <w:tcW w:type="dxa" w:w="2400"/>
            <w:tcBorders>
              <w:top w:val="single" w:color="CCCCCC" w:sz="1"/>
              <w:left w:val="single" w:color="CCCCCC" w:sz="1"/>
              <w:bottom w:val="single" w:color="CCCCCC" w:sz="1"/>
              <w:right w:val="single" w:color="CCCCCC" w:sz="1"/>
            </w:tcBorders>
          </w:tcPr>
          <w:p>
            <w:r>
              <w:rPr>
                <w:sz w:val="20"/>
                <w:szCs w:val="20"/>
              </w:rPr>
              <w:t xml:space="preserve">(1) Pre-revenue indicator; (2) Founder first-time status; (3) Ex-post failure rate</w:t>
            </w:r>
          </w:p>
        </w:tc>
        <w:tc>
          <w:tcPr>
            <w:tcW w:type="dxa" w:w="2760"/>
            <w:tcBorders>
              <w:top w:val="single" w:color="CCCCCC" w:sz="1"/>
              <w:left w:val="single" w:color="CCCCCC" w:sz="1"/>
              <w:bottom w:val="single" w:color="CCCCCC" w:sz="1"/>
              <w:right w:val="single" w:color="CCCCCC" w:sz="1"/>
            </w:tcBorders>
          </w:tcPr>
          <w:p>
            <w:r>
              <w:rPr>
                <w:sz w:val="20"/>
                <w:szCs w:val="20"/>
              </w:rPr>
              <w:t xml:space="preserve">Partech reports; Disrupt Africa; TechCabal; manual coding</w:t>
            </w:r>
          </w:p>
        </w:tc>
      </w:tr>
      <w:tr>
        <w:tc>
          <w:tcPr>
            <w:tcW w:type="dxa" w:w="1800"/>
            <w:tcBorders>
              <w:top w:val="single" w:color="CCCCCC" w:sz="1"/>
              <w:left w:val="single" w:color="CCCCCC" w:sz="1"/>
              <w:bottom w:val="single" w:color="CCCCCC" w:sz="1"/>
              <w:right w:val="single" w:color="CCCCCC" w:sz="1"/>
            </w:tcBorders>
            <w:shd w:fill="f7fafc" w:val="clear"/>
          </w:tcPr>
          <w:p>
            <w:r>
              <w:rPr>
                <w:b/>
                <w:bCs/>
                <w:sz w:val="20"/>
                <w:szCs w:val="20"/>
              </w:rPr>
              <w:t xml:space="preserve">IV: Network Density (NDe)</w:t>
            </w:r>
          </w:p>
        </w:tc>
        <w:tc>
          <w:tcPr>
            <w:tcW w:type="dxa" w:w="2400"/>
            <w:tcBorders>
              <w:top w:val="single" w:color="CCCCCC" w:sz="1"/>
              <w:left w:val="single" w:color="CCCCCC" w:sz="1"/>
              <w:bottom w:val="single" w:color="CCCCCC" w:sz="1"/>
              <w:right w:val="single" w:color="CCCCCC" w:sz="1"/>
            </w:tcBorders>
            <w:shd w:fill="f7fafc" w:val="clear"/>
          </w:tcPr>
          <w:p>
            <w:r>
              <w:rPr>
                <w:sz w:val="20"/>
                <w:szCs w:val="20"/>
              </w:rPr>
              <w:t xml:space="preserve">Ego-network density: proportion of VC's partners who co-invest with each other (3-year rolling window)</w:t>
            </w:r>
          </w:p>
        </w:tc>
        <w:tc>
          <w:tcPr>
            <w:tcW w:type="dxa" w:w="2400"/>
            <w:tcBorders>
              <w:top w:val="single" w:color="CCCCCC" w:sz="1"/>
              <w:left w:val="single" w:color="CCCCCC" w:sz="1"/>
              <w:bottom w:val="single" w:color="CCCCCC" w:sz="1"/>
              <w:right w:val="single" w:color="CCCCCC" w:sz="1"/>
            </w:tcBorders>
            <w:shd w:fill="f7fafc" w:val="clear"/>
          </w:tcPr>
          <w:p>
            <w:r>
              <w:rPr>
                <w:sz w:val="20"/>
                <w:szCs w:val="20"/>
              </w:rPr>
              <w:t xml:space="preserve">(1) Repeat tie ratio; (2) Local clustering coefficient; (3) 5-year window</w:t>
            </w:r>
          </w:p>
        </w:tc>
        <w:tc>
          <w:tcPr>
            <w:tcW w:type="dxa" w:w="2760"/>
            <w:tcBorders>
              <w:top w:val="single" w:color="CCCCCC" w:sz="1"/>
              <w:left w:val="single" w:color="CCCCCC" w:sz="1"/>
              <w:bottom w:val="single" w:color="CCCCCC" w:sz="1"/>
              <w:right w:val="single" w:color="CCCCCC" w:sz="1"/>
            </w:tcBorders>
            <w:shd w:fill="f7fafc" w:val="clear"/>
          </w:tcPr>
          <w:p>
            <w:r>
              <w:rPr>
                <w:sz w:val="20"/>
                <w:szCs w:val="20"/>
              </w:rPr>
              <w:t xml:space="preserve">Constructed from co-investment matrix</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Moderator: Network Diversity (NDi)</w:t>
            </w:r>
          </w:p>
        </w:tc>
        <w:tc>
          <w:tcPr>
            <w:tcW w:type="dxa" w:w="2400"/>
            <w:tcBorders>
              <w:top w:val="single" w:color="CCCCCC" w:sz="1"/>
              <w:left w:val="single" w:color="CCCCCC" w:sz="1"/>
              <w:bottom w:val="single" w:color="CCCCCC" w:sz="1"/>
              <w:right w:val="single" w:color="CCCCCC" w:sz="1"/>
            </w:tcBorders>
          </w:tcPr>
          <w:p>
            <w:r>
              <w:rPr>
                <w:sz w:val="20"/>
                <w:szCs w:val="20"/>
              </w:rPr>
              <w:t xml:space="preserve">Blau index across partner characteristics: investor type, geography, sector focus, stage focus</w:t>
            </w:r>
          </w:p>
        </w:tc>
        <w:tc>
          <w:tcPr>
            <w:tcW w:type="dxa" w:w="2400"/>
            <w:tcBorders>
              <w:top w:val="single" w:color="CCCCCC" w:sz="1"/>
              <w:left w:val="single" w:color="CCCCCC" w:sz="1"/>
              <w:bottom w:val="single" w:color="CCCCCC" w:sz="1"/>
              <w:right w:val="single" w:color="CCCCCC" w:sz="1"/>
            </w:tcBorders>
          </w:tcPr>
          <w:p>
            <w:r>
              <w:rPr>
                <w:sz w:val="20"/>
                <w:szCs w:val="20"/>
              </w:rPr>
              <w:t xml:space="preserve">(1) Entropy measure; (2) Count of distinct partner types; (3) International-local ratio</w:t>
            </w:r>
          </w:p>
        </w:tc>
        <w:tc>
          <w:tcPr>
            <w:tcW w:type="dxa" w:w="2760"/>
            <w:tcBorders>
              <w:top w:val="single" w:color="CCCCCC" w:sz="1"/>
              <w:left w:val="single" w:color="CCCCCC" w:sz="1"/>
              <w:bottom w:val="single" w:color="CCCCCC" w:sz="1"/>
              <w:right w:val="single" w:color="CCCCCC" w:sz="1"/>
            </w:tcBorders>
          </w:tcPr>
          <w:p>
            <w:r>
              <w:rPr>
                <w:sz w:val="20"/>
                <w:szCs w:val="20"/>
              </w:rPr>
              <w:t xml:space="preserve">Investor profiles from Crunchbase/LinkedIn; manual classification</w:t>
            </w:r>
          </w:p>
        </w:tc>
      </w:tr>
      <w:tr>
        <w:tc>
          <w:tcPr>
            <w:tcW w:type="dxa" w:w="1800"/>
            <w:tcBorders>
              <w:top w:val="single" w:color="CCCCCC" w:sz="1"/>
              <w:left w:val="single" w:color="CCCCCC" w:sz="1"/>
              <w:bottom w:val="single" w:color="CCCCCC" w:sz="1"/>
              <w:right w:val="single" w:color="CCCCCC" w:sz="1"/>
            </w:tcBorders>
            <w:shd w:fill="f7fafc" w:val="clear"/>
          </w:tcPr>
          <w:p>
            <w:r>
              <w:rPr>
                <w:b/>
                <w:bCs/>
                <w:sz w:val="20"/>
                <w:szCs w:val="20"/>
              </w:rPr>
              <w:t xml:space="preserve">Controls</w:t>
            </w:r>
          </w:p>
        </w:tc>
        <w:tc>
          <w:tcPr>
            <w:tcW w:type="dxa" w:w="2400"/>
            <w:tcBorders>
              <w:top w:val="single" w:color="CCCCCC" w:sz="1"/>
              <w:left w:val="single" w:color="CCCCCC" w:sz="1"/>
              <w:bottom w:val="single" w:color="CCCCCC" w:sz="1"/>
              <w:right w:val="single" w:color="CCCCCC" w:sz="1"/>
            </w:tcBorders>
            <w:shd w:fill="f7fafc" w:val="clear"/>
          </w:tcPr>
          <w:p>
            <w:r>
              <w:rPr>
                <w:sz w:val="20"/>
                <w:szCs w:val="20"/>
              </w:rPr>
              <w:t xml:space="preserve">VC: fund age, prior Africa deals, network centrality. Deal: round size, syndicate size</w:t>
            </w:r>
          </w:p>
        </w:tc>
        <w:tc>
          <w:tcPr>
            <w:tcW w:type="dxa" w:w="2400"/>
            <w:tcBorders>
              <w:top w:val="single" w:color="CCCCCC" w:sz="1"/>
              <w:left w:val="single" w:color="CCCCCC" w:sz="1"/>
              <w:bottom w:val="single" w:color="CCCCCC" w:sz="1"/>
              <w:right w:val="single" w:color="CCCCCC" w:sz="1"/>
            </w:tcBorders>
            <w:shd w:fill="f7fafc" w:val="clear"/>
          </w:tcPr>
          <w:p>
            <w:r>
              <w:rPr>
                <w:sz w:val="20"/>
                <w:szCs w:val="20"/>
              </w:rPr>
              <w:t xml:space="preserve">Founder characteristics (if available); lead investor status</w:t>
            </w:r>
          </w:p>
        </w:tc>
        <w:tc>
          <w:tcPr>
            <w:tcW w:type="dxa" w:w="2760"/>
            <w:tcBorders>
              <w:top w:val="single" w:color="CCCCCC" w:sz="1"/>
              <w:left w:val="single" w:color="CCCCCC" w:sz="1"/>
              <w:bottom w:val="single" w:color="CCCCCC" w:sz="1"/>
              <w:right w:val="single" w:color="CCCCCC" w:sz="1"/>
            </w:tcBorders>
            <w:shd w:fill="f7fafc" w:val="clear"/>
          </w:tcPr>
          <w:p>
            <w:r>
              <w:rPr>
                <w:sz w:val="20"/>
                <w:szCs w:val="20"/>
              </w:rPr>
              <w:t xml:space="preserve">Multiple sources; some manual coding</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Fixed Effects</w:t>
            </w:r>
          </w:p>
        </w:tc>
        <w:tc>
          <w:tcPr>
            <w:tcW w:type="dxa" w:w="2400"/>
            <w:tcBorders>
              <w:top w:val="single" w:color="CCCCCC" w:sz="1"/>
              <w:left w:val="single" w:color="CCCCCC" w:sz="1"/>
              <w:bottom w:val="single" w:color="CCCCCC" w:sz="1"/>
              <w:right w:val="single" w:color="CCCCCC" w:sz="1"/>
            </w:tcBorders>
          </w:tcPr>
          <w:p>
            <w:r>
              <w:rPr>
                <w:sz w:val="20"/>
                <w:szCs w:val="20"/>
              </w:rPr>
              <w:t xml:space="preserve">Year FE, Country FE, Sector FE</w:t>
            </w:r>
          </w:p>
        </w:tc>
        <w:tc>
          <w:tcPr>
            <w:tcW w:type="dxa" w:w="2400"/>
            <w:tcBorders>
              <w:top w:val="single" w:color="CCCCCC" w:sz="1"/>
              <w:left w:val="single" w:color="CCCCCC" w:sz="1"/>
              <w:bottom w:val="single" w:color="CCCCCC" w:sz="1"/>
              <w:right w:val="single" w:color="CCCCCC" w:sz="1"/>
            </w:tcBorders>
          </w:tcPr>
          <w:p>
            <w:r>
              <w:rPr>
                <w:sz w:val="20"/>
                <w:szCs w:val="20"/>
              </w:rPr>
              <w:t xml:space="preserve">Country×Year FE (if sample size permits)</w:t>
            </w:r>
          </w:p>
        </w:tc>
        <w:tc>
          <w:tcPr>
            <w:tcW w:type="dxa" w:w="2760"/>
            <w:tcBorders>
              <w:top w:val="single" w:color="CCCCCC" w:sz="1"/>
              <w:left w:val="single" w:color="CCCCCC" w:sz="1"/>
              <w:bottom w:val="single" w:color="CCCCCC" w:sz="1"/>
              <w:right w:val="single" w:color="CCCCCC" w:sz="1"/>
            </w:tcBorders>
          </w:tcPr>
          <w:p>
            <w:r>
              <w:rPr>
                <w:sz w:val="20"/>
                <w:szCs w:val="20"/>
              </w:rPr>
              <w:t xml:space="preserve">—</w:t>
            </w:r>
          </w:p>
        </w:tc>
      </w:tr>
    </w:tbl>
    <w:p>
      <w:r>
        <w:br w:type="page"/>
      </w:r>
    </w:p>
    <w:p>
      <w:pPr>
        <w:pStyle w:val="Heading1"/>
      </w:pPr>
      <w:r>
        <w:t xml:space="preserve">Section 5: Detailed Paper Outline</w:t>
      </w:r>
    </w:p>
    <w:p>
      <w:pPr>
        <w:spacing w:after="200"/>
      </w:pPr>
      <w:r>
        <w:rPr>
          <w:i/>
          <w:iCs/>
          <w:color w:val="666666"/>
        </w:rPr>
        <w:t xml:space="preserve">Target length: 8,000-10,000 words (JBV/JIBS style). Conference submission: 2,000-5,000 words (interactive paper).</w:t>
      </w:r>
    </w:p>
    <w:p>
      <w:pPr>
        <w:pStyle w:val="Heading2"/>
      </w:pPr>
      <w:r>
        <w:t xml:space="preserve">1. Introduction (2-3 pages / ~1,500 words)</w:t>
      </w:r>
    </w:p>
    <w:p>
      <w:pPr>
        <w:pStyle w:val="ListParagraph"/>
        <w:numPr>
          <w:ilvl w:val="0"/>
          <w:numId w:val="2"/>
        </w:numPr>
      </w:pPr>
      <w:r>
        <w:rPr>
          <w:b/>
          <w:bCs/>
        </w:rPr>
        <w:t xml:space="preserve">Opening hook: </w:t>
      </w:r>
      <w:r>
        <w:t xml:space="preserve">Dense VC networks are praised for information advantages yet blamed for herd behavior — how can both be true?</w:t>
      </w:r>
    </w:p>
    <w:p>
      <w:pPr>
        <w:pStyle w:val="ListParagraph"/>
        <w:numPr>
          <w:ilvl w:val="0"/>
          <w:numId w:val="2"/>
        </w:numPr>
      </w:pPr>
      <w:r>
        <w:rPr>
          <w:b/>
          <w:bCs/>
        </w:rPr>
        <w:t xml:space="preserve">Research question: </w:t>
      </w:r>
      <w:r>
        <w:t xml:space="preserve">When does density enable judicious risk-taking vs. generate conformity?</w:t>
      </w:r>
    </w:p>
    <w:p>
      <w:pPr>
        <w:pStyle w:val="ListParagraph"/>
        <w:numPr>
          <w:ilvl w:val="0"/>
          <w:numId w:val="2"/>
        </w:numPr>
      </w:pPr>
      <w:r>
        <w:rPr>
          <w:b/>
          <w:bCs/>
        </w:rPr>
        <w:t xml:space="preserve">Preview of argument: </w:t>
      </w:r>
      <w:r>
        <w:t xml:space="preserve">Diversity is the switch — dense+diverse enables aggregated judgment; dense+homogeneous produces cascades</w:t>
      </w:r>
    </w:p>
    <w:p>
      <w:pPr>
        <w:pStyle w:val="ListParagraph"/>
        <w:numPr>
          <w:ilvl w:val="0"/>
          <w:numId w:val="2"/>
        </w:numPr>
        <w:spacing w:after="200"/>
      </w:pPr>
      <w:r>
        <w:rPr>
          <w:b/>
          <w:bCs/>
        </w:rPr>
        <w:t xml:space="preserve">Three contributions: </w:t>
      </w:r>
      <w:r>
        <w:t xml:space="preserve">(1) Shifts DV from performance to risk selection; (2) Integrates network-advantage and herding literatures; (3) Tests in institutional void context where networks substitute for institutions</w:t>
      </w:r>
    </w:p>
    <w:p>
      <w:pPr>
        <w:pStyle w:val="Heading2"/>
      </w:pPr>
      <w:r>
        <w:t xml:space="preserve">2. Theory &amp; Hypotheses (8-10 pages / ~4,000 words)</w:t>
      </w:r>
    </w:p>
    <w:p>
      <w:pPr>
        <w:pStyle w:val="ListParagraph"/>
        <w:numPr>
          <w:ilvl w:val="0"/>
          <w:numId w:val="2"/>
        </w:numPr>
      </w:pPr>
      <w:r>
        <w:rPr>
          <w:b/>
          <w:bCs/>
        </w:rPr>
        <w:t xml:space="preserve">2.1 VC syndication as social infrastructure: </w:t>
      </w:r>
      <w:r>
        <w:t xml:space="preserve">Brief review of network functions (info, trust, risk-sharing, governance)</w:t>
      </w:r>
    </w:p>
    <w:p>
      <w:pPr>
        <w:pStyle w:val="ListParagraph"/>
        <w:numPr>
          <w:ilvl w:val="0"/>
          <w:numId w:val="2"/>
        </w:numPr>
      </w:pPr>
      <w:r>
        <w:rPr>
          <w:b/>
          <w:bCs/>
        </w:rPr>
        <w:t xml:space="preserve">2.2 The downside of density: </w:t>
      </w:r>
      <w:r>
        <w:t xml:space="preserve">Herding, cascades, homophily, redundant information</w:t>
      </w:r>
    </w:p>
    <w:p>
      <w:pPr>
        <w:pStyle w:val="ListParagraph"/>
        <w:numPr>
          <w:ilvl w:val="0"/>
          <w:numId w:val="2"/>
        </w:numPr>
      </w:pPr>
      <w:r>
        <w:rPr>
          <w:b/>
          <w:bCs/>
        </w:rPr>
        <w:t xml:space="preserve">2.3 Diversity as requisite variety: </w:t>
      </w:r>
      <w:r>
        <w:t xml:space="preserve">Ashby + Nooteboom + application to VC judgment</w:t>
      </w:r>
    </w:p>
    <w:p>
      <w:pPr>
        <w:pStyle w:val="ListParagraph"/>
        <w:numPr>
          <w:ilvl w:val="0"/>
          <w:numId w:val="2"/>
        </w:numPr>
      </w:pPr>
      <w:r>
        <w:rPr>
          <w:b/>
          <w:bCs/>
        </w:rPr>
        <w:t xml:space="preserve">2.4 The interaction: </w:t>
      </w:r>
      <w:r>
        <w:t xml:space="preserve">Why density needs diversity (Buchner as empirical bridge)</w:t>
      </w:r>
    </w:p>
    <w:p>
      <w:pPr>
        <w:pStyle w:val="ListParagraph"/>
        <w:numPr>
          <w:ilvl w:val="0"/>
          <w:numId w:val="2"/>
        </w:numPr>
      </w:pPr>
      <w:r>
        <w:rPr>
          <w:b/>
          <w:bCs/>
        </w:rPr>
        <w:t xml:space="preserve">2.5 (If Africa focus) Institutional uncertainty as amplifier: </w:t>
      </w:r>
      <w:r>
        <w:t xml:space="preserve">Networks more central when institutions weak; both benefits and risks magnified</w:t>
      </w:r>
    </w:p>
    <w:p>
      <w:pPr>
        <w:pStyle w:val="ListParagraph"/>
        <w:numPr>
          <w:ilvl w:val="0"/>
          <w:numId w:val="2"/>
        </w:numPr>
        <w:spacing w:after="200"/>
      </w:pPr>
      <w:r>
        <w:rPr>
          <w:b/>
          <w:bCs/>
        </w:rPr>
        <w:t xml:space="preserve">2.6 Hypotheses: </w:t>
      </w:r>
      <w:r>
        <w:t xml:space="preserve">H1, H2, H3 stated with mechanism paragraphs</w:t>
      </w:r>
    </w:p>
    <w:p>
      <w:pPr>
        <w:pStyle w:val="Heading2"/>
      </w:pPr>
      <w:r>
        <w:t xml:space="preserve">3. Data &amp; Methods (4-6 pages / ~2,500 words)</w:t>
      </w:r>
    </w:p>
    <w:p>
      <w:pPr>
        <w:pStyle w:val="ListParagraph"/>
        <w:numPr>
          <w:ilvl w:val="0"/>
          <w:numId w:val="2"/>
        </w:numPr>
      </w:pPr>
      <w:r>
        <w:rPr>
          <w:b/>
          <w:bCs/>
        </w:rPr>
        <w:t xml:space="preserve">3.1 Sample &amp; data sources: </w:t>
      </w:r>
      <w:r>
        <w:t xml:space="preserve">African VC deals 2015-2024; Partech + Disrupt Africa + manual collection; sample size and coverage</w:t>
      </w:r>
    </w:p>
    <w:p>
      <w:pPr>
        <w:pStyle w:val="ListParagraph"/>
        <w:numPr>
          <w:ilvl w:val="0"/>
          <w:numId w:val="2"/>
        </w:numPr>
      </w:pPr>
      <w:r>
        <w:rPr>
          <w:b/>
          <w:bCs/>
        </w:rPr>
        <w:t xml:space="preserve">3.2 Network construction: </w:t>
      </w:r>
      <w:r>
        <w:t xml:space="preserve">Africa-boundary definition; rolling window; projection from bipartite (VC-venture) to unipartite (VC-VC)</w:t>
      </w:r>
    </w:p>
    <w:p>
      <w:pPr>
        <w:pStyle w:val="ListParagraph"/>
        <w:numPr>
          <w:ilvl w:val="0"/>
          <w:numId w:val="2"/>
        </w:numPr>
      </w:pPr>
      <w:r>
        <w:rPr>
          <w:b/>
          <w:bCs/>
        </w:rPr>
        <w:t xml:space="preserve">3.3 Variables: </w:t>
      </w:r>
      <w:r>
        <w:t xml:space="preserve">DV, IVs, moderator, controls (reference measurement table)</w:t>
      </w:r>
    </w:p>
    <w:p>
      <w:pPr>
        <w:pStyle w:val="ListParagraph"/>
        <w:numPr>
          <w:ilvl w:val="0"/>
          <w:numId w:val="2"/>
        </w:numPr>
        <w:spacing w:after="200"/>
      </w:pPr>
      <w:r>
        <w:rPr>
          <w:b/>
          <w:bCs/>
        </w:rPr>
        <w:t xml:space="preserve">3.4 Estimation: </w:t>
      </w:r>
      <w:r>
        <w:t xml:space="preserve">Model specification; fixed effects; clustering; endogeneity discussion</w:t>
      </w:r>
    </w:p>
    <w:p>
      <w:pPr>
        <w:pStyle w:val="Heading2"/>
      </w:pPr>
      <w:r>
        <w:t xml:space="preserve">4. Results (5-8 pages / ~2,500 words)</w:t>
      </w:r>
    </w:p>
    <w:p>
      <w:pPr>
        <w:pStyle w:val="ListParagraph"/>
        <w:numPr>
          <w:ilvl w:val="0"/>
          <w:numId w:val="2"/>
        </w:numPr>
      </w:pPr>
      <w:r>
        <w:rPr>
          <w:b/>
          <w:bCs/>
        </w:rPr>
        <w:t xml:space="preserve">4.1 Descriptive statistics: </w:t>
      </w:r>
      <w:r>
        <w:t xml:space="preserve">Network visualization; summary stats table; correlations</w:t>
      </w:r>
    </w:p>
    <w:p>
      <w:pPr>
        <w:pStyle w:val="ListParagraph"/>
        <w:numPr>
          <w:ilvl w:val="0"/>
          <w:numId w:val="2"/>
        </w:numPr>
      </w:pPr>
      <w:r>
        <w:rPr>
          <w:b/>
          <w:bCs/>
        </w:rPr>
        <w:t xml:space="preserve">4.2 Main effects: </w:t>
      </w:r>
      <w:r>
        <w:t xml:space="preserve">Density and diversity on HRV (H1, H3)</w:t>
      </w:r>
    </w:p>
    <w:p>
      <w:pPr>
        <w:pStyle w:val="ListParagraph"/>
        <w:numPr>
          <w:ilvl w:val="0"/>
          <w:numId w:val="2"/>
        </w:numPr>
      </w:pPr>
      <w:r>
        <w:rPr>
          <w:b/>
          <w:bCs/>
        </w:rPr>
        <w:t xml:space="preserve">4.3 Interaction: </w:t>
      </w:r>
      <w:r>
        <w:t xml:space="preserve">Density × diversity (H2); marginal effects plot showing density effect at low/medium/high diversity</w:t>
      </w:r>
    </w:p>
    <w:p>
      <w:pPr>
        <w:pStyle w:val="ListParagraph"/>
        <w:numPr>
          <w:ilvl w:val="0"/>
          <w:numId w:val="2"/>
        </w:numPr>
        <w:spacing w:after="200"/>
      </w:pPr>
      <w:r>
        <w:rPr>
          <w:b/>
          <w:bCs/>
        </w:rPr>
        <w:t xml:space="preserve">4.4 Robustness: </w:t>
      </w:r>
      <w:r>
        <w:t xml:space="preserve">Alternative HRV measures; quadratic diversity; alternative network windows; VC-year aggregation</w:t>
      </w:r>
    </w:p>
    <w:p>
      <w:pPr>
        <w:pStyle w:val="Heading2"/>
      </w:pPr>
      <w:r>
        <w:t xml:space="preserve">5. Discussion (4-6 pages / ~2,000 words)</w:t>
      </w:r>
    </w:p>
    <w:p>
      <w:pPr>
        <w:pStyle w:val="ListParagraph"/>
        <w:numPr>
          <w:ilvl w:val="0"/>
          <w:numId w:val="2"/>
        </w:numPr>
      </w:pPr>
      <w:r>
        <w:rPr>
          <w:b/>
          <w:bCs/>
        </w:rPr>
        <w:t xml:space="preserve">5.1 Reconciliation statement: </w:t>
      </w:r>
      <w:r>
        <w:t xml:space="preserve">Dense networks are neither uniformly good nor bad; diversity determines whether they aggregate or amplify</w:t>
      </w:r>
    </w:p>
    <w:p>
      <w:pPr>
        <w:pStyle w:val="ListParagraph"/>
        <w:numPr>
          <w:ilvl w:val="0"/>
          <w:numId w:val="2"/>
        </w:numPr>
      </w:pPr>
      <w:r>
        <w:rPr>
          <w:b/>
          <w:bCs/>
        </w:rPr>
        <w:t xml:space="preserve">5.2 Theoretical contributions: </w:t>
      </w:r>
      <w:r>
        <w:t xml:space="preserve">(a) Risk selection vs performance; (b) Integration of network-advantage and herding streams; (c) Requisite variety in financial decision-making</w:t>
      </w:r>
    </w:p>
    <w:p>
      <w:pPr>
        <w:pStyle w:val="ListParagraph"/>
        <w:numPr>
          <w:ilvl w:val="0"/>
          <w:numId w:val="2"/>
        </w:numPr>
      </w:pPr>
      <w:r>
        <w:rPr>
          <w:b/>
          <w:bCs/>
        </w:rPr>
        <w:t xml:space="preserve">5.3 Practical implications: </w:t>
      </w:r>
      <w:r>
        <w:t xml:space="preserve">For VCs (syndicate composition); for founders (building diverse investor syndicates); for policy (ecosystem openness, diversity promotion)</w:t>
      </w:r>
    </w:p>
    <w:p>
      <w:pPr>
        <w:pStyle w:val="ListParagraph"/>
        <w:numPr>
          <w:ilvl w:val="0"/>
          <w:numId w:val="2"/>
        </w:numPr>
        <w:spacing w:after="200"/>
      </w:pPr>
      <w:r>
        <w:rPr>
          <w:b/>
          <w:bCs/>
        </w:rPr>
        <w:t xml:space="preserve">5.4 Limitations &amp; future research: </w:t>
      </w:r>
      <w:r>
        <w:t xml:space="preserve">Endogeneity; measurement limitations; extension to other contexts; mechanism tests</w:t>
      </w:r>
    </w:p>
    <w:p>
      <w:pPr>
        <w:pStyle w:val="Heading2"/>
      </w:pPr>
      <w:r>
        <w:t xml:space="preserve">6. Conclusion (~500 words)</w:t>
      </w:r>
    </w:p>
    <w:p>
      <w:pPr>
        <w:spacing w:after="200"/>
      </w:pPr>
      <w:r>
        <w:t xml:space="preserve">Crisp restatement of puzzle, answer, and contribution. End with provocative implication for practice or theory.</w:t>
      </w:r>
    </w:p>
    <w:p>
      <w:r>
        <w:br w:type="page"/>
      </w:r>
    </w:p>
    <w:p>
      <w:pPr>
        <w:pStyle w:val="Heading1"/>
      </w:pPr>
      <w:r>
        <w:t xml:space="preserve">Section 6: Draft Introduction</w:t>
      </w:r>
    </w:p>
    <w:p>
      <w:pPr>
        <w:spacing w:after="200"/>
      </w:pPr>
      <w:r>
        <w:rPr>
          <w:i/>
          <w:iCs/>
          <w:color w:val="666666"/>
        </w:rPr>
        <w:t xml:space="preserve">Conference-ready draft (~1,200 words). Refine for full journal submission.</w:t>
      </w:r>
    </w:p>
    <w:p>
      <w:pPr>
        <w:spacing w:after="200"/>
      </w:pPr>
      <w:r>
        <w:t xml:space="preserve">Venture capital syndication networks are widely regarded as sources of competitive advantage. Well-networked VCs enjoy earlier access to promising deals, richer information flows about potential investments, and greater capacity to monitor and support portfolio companies (Hochberg, Ljungqvist, &amp; Lu, 2007; Sorenson &amp; Stuart, 2001). Dense co-investment relationships create trust that enables VCs to act on ambiguous signals and share risks across partners (Brander, Amit, &amp; Antweiler, 2002; Lerner, 1994). By this account, dense networks should facilitate bolder, more informed risk-taking—enabling investment in high-uncertainty ventures that isolated investors would avoid.</w:t>
      </w:r>
    </w:p>
    <w:p>
      <w:pPr>
        <w:spacing w:after="200"/>
      </w:pPr>
      <w:r>
        <w:t xml:space="preserve">Yet an equally compelling literature documents the dark side of network cohesion. Tightly-knit investor communities exhibit pronounced herding behavior, with VCs piling into fashionable sectors and ignoring private signals in favor of following peers (Zhang, Yang, Li, &amp; Khan, 2021). Homophilous partnership choices—where VCs syndicate with demographically similar others—are associated with significantly worse investment outcomes, consistent with groupthink and reduced cognitive challenge (Gompers, Mukharlyamov, &amp; Xuan, 2016). Information cascades in entrepreneurial finance mean that early investment decisions can trigger bandwagons disconnected from underlying venture quality (Vismara, 2018). By this account, dense networks amplify conformity and correlated errors, producing collective mistakes rather than collective wisdom.</w:t>
      </w:r>
    </w:p>
    <w:p>
      <w:pPr>
        <w:spacing w:after="200"/>
      </w:pPr>
      <w:r>
        <w:t xml:space="preserve">How can the same structural feature—network density—be simultaneously associated with superior risk assessment and with herding? We argue the resolution lies in network composition: the effect of density depends on whether the network aggregates diverse or redundant information. Dense networks with high internal diversity provide both the trust required to act under ambiguity and the heterogeneous inputs required to challenge assumptions and surface blind spots. Dense networks with low diversity become echo chambers where redundant signals reinforce consensus and reputational pressure suppresses dissent. Diversity is the switch that determines whether density enables judgment or conformity.</w:t>
      </w:r>
    </w:p>
    <w:p>
      <w:pPr>
        <w:spacing w:after="200"/>
      </w:pPr>
      <w:r>
        <w:t xml:space="preserve">We ground this argument in two theoretical traditions. First, Ashby's (1956) law of requisite variety holds that a system's regulatory capacity must match the variety of disturbances it faces—'only variety can absorb variety.' High-uncertainty ventures represent complex, multidimensional evaluation problems; networks lacking internal variety cannot adequately process these signals. Second, Nooteboom and colleagues' (2007) work on cognitive distance shows that innovation performance follows an inverted-U with partner dissimilarity: too little distance yields no novelty; too much distance prevents mutual understanding. Applied to VC syndication, this implies an optimal range of diversity that provides non-redundant information without exceeding coordination capacity.</w:t>
      </w:r>
    </w:p>
    <w:p>
      <w:pPr>
        <w:spacing w:after="200"/>
      </w:pPr>
      <w:r>
        <w:t xml:space="preserve">We test this density × diversity logic in the context of African venture capital markets from 2015 to 2024. The African context sharpens our theoretical test for two reasons. First, institutional voids (weak contract enforcement, limited information intermediaries, regulatory uncertainty) make informal networks more central to investment decisions—VCs rely more heavily on trusted relationships when formal institutions provide less support (Kabengele &amp; Hahn, 2025; Khanna &amp; Palepu, 2010). This should amplify both the benefits of density (networks substitute for missing institutions) and the risks of homogeneous density (fewer external checks on collective bias). Second, the relatively nascent African VC ecosystem exhibits substantial variation in network structures, with some investors embedded in tight local circles and others maintaining diverse international partnerships—variation that enables cleaner identification of our theorized effects.</w:t>
      </w:r>
    </w:p>
    <w:p>
      <w:pPr>
        <w:spacing w:after="200"/>
      </w:pPr>
      <w:r>
        <w:t xml:space="preserve">Our study makes three contributions. First, we shift the dependent variable from investment performance (ex post) to risk selection (ex ante). Prior work linking networks to outcomes conflates selection and value-add; by examining which ventures get funded, we isolate how networks shape the risk-taking decision itself. Buchner and colleagues (2025) provide an important precedent, showing that experience diversity among syndicate members attenuates the negative relationship between repeated syndication and VC returns. We extend this by examining network-level density (not just repeat ties), by focusing on selection into high-risk ventures (not just performance), and by theorizing diversity as the mechanism that transforms density from liability to asset.</w:t>
      </w:r>
    </w:p>
    <w:p>
      <w:pPr>
        <w:spacing w:after="200"/>
      </w:pPr>
      <w:r>
        <w:t xml:space="preserve">Second, we integrate two largely separate research conversations: the network-advantage literature emphasizing information and trust benefits of syndication, and the herding literature emphasizing conformity and cascade risks. These streams have developed in parallel, offering conflicting prescriptions without reconciliation. By theorizing density × diversity as the contingency that determines which dynamic dominates, we provide a unified framework that accommodates both sets of findings.</w:t>
      </w:r>
    </w:p>
    <w:p>
      <w:pPr>
        <w:spacing w:after="200"/>
      </w:pPr>
      <w:r>
        <w:t xml:space="preserve">Third, we contribute to understanding how institutional context shapes the network-performance relationship. Research on networks in emerging markets has emphasized their role as substitutes for weak formal institutions (Khanna &amp; Palepu, 2010; Meuleman et al., 2017). We extend this by showing that the density/diversity calculus operates differently under institutional uncertainty: networks matter more, but so do the risks of correlated errors when networks lack diversity. For practitioners and policymakers seeking to develop vibrant VC ecosystems in emerging markets, this suggests that network building must attend not just to density of connections but to diversity of participants.</w:t>
      </w:r>
    </w:p>
    <w:p>
      <w:pPr>
        <w:spacing w:after="200"/>
      </w:pPr>
      <w:r>
        <w:t xml:space="preserve">We proceed as follows. The next section develops our theoretical framework, deriving hypotheses about density, diversity, and their interaction. We then describe our data on African VC syndication networks and our measurement approach. Results reveal that density is indeed positively associated with high-risk venture investment, but this relationship is contingent on diversity: the effect is strongest for VCs embedded in diverse networks and attenuates (or reverses) for those in homogeneous circles. We conclude by discussing implications for theory and practice.</w:t>
      </w:r>
    </w:p>
    <w:p>
      <w:r>
        <w:br w:type="page"/>
      </w:r>
    </w:p>
    <w:p>
      <w:pPr>
        <w:pStyle w:val="Heading1"/>
      </w:pPr>
      <w:r>
        <w:t xml:space="preserve">Section 7: Core Reference Set</w:t>
      </w:r>
    </w:p>
    <w:p>
      <w:pPr>
        <w:spacing w:after="200"/>
      </w:pPr>
      <w:r>
        <w:rPr>
          <w:i/>
          <w:iCs/>
          <w:color w:val="666666"/>
        </w:rPr>
        <w:t xml:space="preserve">Essential citations organized by mechanism. Full bibliography to be compiled.</w:t>
      </w:r>
    </w:p>
    <w:p>
      <w:pPr>
        <w:pStyle w:val="Heading2"/>
      </w:pPr>
      <w:r>
        <w:t xml:space="preserve">Density Benefits (H1 support)</w:t>
      </w:r>
    </w:p>
    <w:p>
      <w:pPr>
        <w:pStyle w:val="ListParagraph"/>
        <w:numPr>
          <w:ilvl w:val="0"/>
          <w:numId w:val="2"/>
        </w:numPr>
      </w:pPr>
      <w:r>
        <w:t xml:space="preserve">Hochberg, Y. V., Ljungqvist, A., &amp; Lu, Y. (2007). Whom you know matters: Venture capital networks and investment performance. </w:t>
      </w:r>
      <w:r>
        <w:rPr>
          <w:i/>
          <w:iCs/>
        </w:rPr>
        <w:t xml:space="preserve">Journal of Finance, 62</w:t>
      </w:r>
      <w:r>
        <w:t xml:space="preserve">(1), 251-301.</w:t>
      </w:r>
    </w:p>
    <w:p>
      <w:pPr>
        <w:pStyle w:val="ListParagraph"/>
        <w:numPr>
          <w:ilvl w:val="0"/>
          <w:numId w:val="2"/>
        </w:numPr>
      </w:pPr>
      <w:r>
        <w:t xml:space="preserve">Sorenson, O., &amp; Stuart, T. E. (2001). Syndication networks and the spatial distribution of venture capital investments. </w:t>
      </w:r>
      <w:r>
        <w:rPr>
          <w:i/>
          <w:iCs/>
        </w:rPr>
        <w:t xml:space="preserve">American Journal of Sociology, 106</w:t>
      </w:r>
      <w:r>
        <w:t xml:space="preserve">(6), 1546-1588.</w:t>
      </w:r>
    </w:p>
    <w:p>
      <w:pPr>
        <w:pStyle w:val="ListParagraph"/>
        <w:numPr>
          <w:ilvl w:val="0"/>
          <w:numId w:val="2"/>
        </w:numPr>
        <w:spacing w:after="200"/>
      </w:pPr>
      <w:r>
        <w:t xml:space="preserve">Brander, J. A., Amit, R., &amp; Antweiler, W. (2002). Venture-capital syndication: Improved venture selection vs. the value-added hypothesis. </w:t>
      </w:r>
      <w:r>
        <w:rPr>
          <w:i/>
          <w:iCs/>
        </w:rPr>
        <w:t xml:space="preserve">Journal of Economics &amp; Management Strategy, 11</w:t>
      </w:r>
      <w:r>
        <w:t xml:space="preserve">(3), 423-452.</w:t>
      </w:r>
    </w:p>
    <w:p>
      <w:pPr>
        <w:pStyle w:val="Heading2"/>
      </w:pPr>
      <w:r>
        <w:t xml:space="preserve">Herding/Conformity (H2 mechanism)</w:t>
      </w:r>
    </w:p>
    <w:p>
      <w:pPr>
        <w:pStyle w:val="ListParagraph"/>
        <w:numPr>
          <w:ilvl w:val="0"/>
          <w:numId w:val="2"/>
        </w:numPr>
      </w:pPr>
      <w:r>
        <w:t xml:space="preserve">Banerjee, A. V. (1992). A simple model of herd behavior. </w:t>
      </w:r>
      <w:r>
        <w:rPr>
          <w:i/>
          <w:iCs/>
        </w:rPr>
        <w:t xml:space="preserve">Quarterly Journal of Economics, 107</w:t>
      </w:r>
      <w:r>
        <w:t xml:space="preserve">(3), 797-817.</w:t>
      </w:r>
    </w:p>
    <w:p>
      <w:pPr>
        <w:pStyle w:val="ListParagraph"/>
        <w:numPr>
          <w:ilvl w:val="0"/>
          <w:numId w:val="2"/>
        </w:numPr>
      </w:pPr>
      <w:r>
        <w:t xml:space="preserve">Zhang, R., Yang, X., Li, N., &amp; Khan, M. A. (2021). Herd behavior in venture capital market: Evidence from China. </w:t>
      </w:r>
      <w:r>
        <w:rPr>
          <w:i/>
          <w:iCs/>
        </w:rPr>
        <w:t xml:space="preserve">Mathematics, 9</w:t>
      </w:r>
      <w:r>
        <w:t xml:space="preserve">(13), 1509.</w:t>
      </w:r>
    </w:p>
    <w:p>
      <w:pPr>
        <w:pStyle w:val="ListParagraph"/>
        <w:numPr>
          <w:ilvl w:val="0"/>
          <w:numId w:val="2"/>
        </w:numPr>
      </w:pPr>
      <w:r>
        <w:t xml:space="preserve">Gompers, P. A., Mukharlyamov, V., &amp; Xuan, Y. (2016). The cost of friendship. </w:t>
      </w:r>
      <w:r>
        <w:rPr>
          <w:i/>
          <w:iCs/>
        </w:rPr>
        <w:t xml:space="preserve">Journal of Financial Economics, 119</w:t>
      </w:r>
      <w:r>
        <w:t xml:space="preserve">(3), 626-644.</w:t>
      </w:r>
    </w:p>
    <w:p>
      <w:pPr>
        <w:pStyle w:val="ListParagraph"/>
        <w:numPr>
          <w:ilvl w:val="0"/>
          <w:numId w:val="2"/>
        </w:numPr>
        <w:spacing w:after="200"/>
      </w:pPr>
      <w:r>
        <w:t xml:space="preserve">Vismara, S. (2018). Information cascades among investors in equity crowdfunding. </w:t>
      </w:r>
      <w:r>
        <w:rPr>
          <w:i/>
          <w:iCs/>
        </w:rPr>
        <w:t xml:space="preserve">Entrepreneurship Theory and Practice, 42</w:t>
      </w:r>
      <w:r>
        <w:t xml:space="preserve">(3), 467-497.</w:t>
      </w:r>
    </w:p>
    <w:p>
      <w:pPr>
        <w:pStyle w:val="Heading2"/>
      </w:pPr>
      <w:r>
        <w:t xml:space="preserve">Diversity/Requisite Variety (H2/H3 theory)</w:t>
      </w:r>
    </w:p>
    <w:p>
      <w:pPr>
        <w:pStyle w:val="ListParagraph"/>
        <w:numPr>
          <w:ilvl w:val="0"/>
          <w:numId w:val="2"/>
        </w:numPr>
      </w:pPr>
      <w:r>
        <w:t xml:space="preserve">Ashby, W. R. (1956). </w:t>
      </w:r>
      <w:r>
        <w:rPr>
          <w:i/>
          <w:iCs/>
        </w:rPr>
        <w:t xml:space="preserve">An Introduction to Cybernetics</w:t>
      </w:r>
      <w:r>
        <w:t xml:space="preserve">. Chapman &amp; Hall.</w:t>
      </w:r>
    </w:p>
    <w:p>
      <w:pPr>
        <w:pStyle w:val="ListParagraph"/>
        <w:numPr>
          <w:ilvl w:val="0"/>
          <w:numId w:val="2"/>
        </w:numPr>
      </w:pPr>
      <w:r>
        <w:t xml:space="preserve">Nooteboom, B., Van Haverbeke, W., Duysters, G., Gilsing, V., &amp; Van den Oord, A. (2007). Optimal cognitive distance and absorptive capacity. </w:t>
      </w:r>
      <w:r>
        <w:rPr>
          <w:i/>
          <w:iCs/>
        </w:rPr>
        <w:t xml:space="preserve">Research Policy, 36</w:t>
      </w:r>
      <w:r>
        <w:t xml:space="preserve">(7), 1016-1034.</w:t>
      </w:r>
    </w:p>
    <w:p>
      <w:pPr>
        <w:pStyle w:val="ListParagraph"/>
        <w:numPr>
          <w:ilvl w:val="0"/>
          <w:numId w:val="2"/>
        </w:numPr>
        <w:spacing w:after="200"/>
      </w:pPr>
      <w:r>
        <w:t xml:space="preserve">Burt, R. S. (2005). </w:t>
      </w:r>
      <w:r>
        <w:rPr>
          <w:i/>
          <w:iCs/>
        </w:rPr>
        <w:t xml:space="preserve">Brokerage and Closure: An Introduction to Social Capital</w:t>
      </w:r>
      <w:r>
        <w:t xml:space="preserve">. Oxford University Press.</w:t>
      </w:r>
    </w:p>
    <w:p>
      <w:pPr>
        <w:pStyle w:val="Heading2"/>
      </w:pPr>
      <w:r>
        <w:t xml:space="preserve">Interaction Precedent (H2 evidence)</w:t>
      </w:r>
    </w:p>
    <w:p>
      <w:pPr>
        <w:pStyle w:val="ListParagraph"/>
        <w:numPr>
          <w:ilvl w:val="0"/>
          <w:numId w:val="2"/>
        </w:numPr>
      </w:pPr>
      <w:r>
        <w:t xml:space="preserve">Buchner, A., Helbing, P., Mohamed, A., &amp; Yoon, H. (2025). Does the same investment team create value? Evidence from venture capital syndication. </w:t>
      </w:r>
      <w:r>
        <w:rPr>
          <w:i/>
          <w:iCs/>
        </w:rPr>
        <w:t xml:space="preserve">Small Business Economics, 65</w:t>
      </w:r>
      <w:r>
        <w:t xml:space="preserve">(4), 2331-2360.</w:t>
      </w:r>
    </w:p>
    <w:p>
      <w:pPr>
        <w:pStyle w:val="ListParagraph"/>
        <w:numPr>
          <w:ilvl w:val="0"/>
          <w:numId w:val="2"/>
        </w:numPr>
        <w:spacing w:after="200"/>
      </w:pPr>
      <w:r>
        <w:t xml:space="preserve">Ahuja, G. (2000). Collaboration networks, structural holes, and innovation: A longitudinal study. </w:t>
      </w:r>
      <w:r>
        <w:rPr>
          <w:i/>
          <w:iCs/>
        </w:rPr>
        <w:t xml:space="preserve">Administrative Science Quarterly, 45</w:t>
      </w:r>
      <w:r>
        <w:t xml:space="preserve">(3), 425-455.</w:t>
      </w:r>
    </w:p>
    <w:p>
      <w:pPr>
        <w:pStyle w:val="Heading2"/>
      </w:pPr>
      <w:r>
        <w:t xml:space="preserve">Africa/Institutional Voids</w:t>
      </w:r>
    </w:p>
    <w:p>
      <w:pPr>
        <w:pStyle w:val="ListParagraph"/>
        <w:numPr>
          <w:ilvl w:val="0"/>
          <w:numId w:val="2"/>
        </w:numPr>
      </w:pPr>
      <w:r>
        <w:t xml:space="preserve">Kabengele, C., &amp; Hahn, R. (2025). Venture capital funding in Africa: A mixed-methods study of evolving ecosystems and financial discrimination. </w:t>
      </w:r>
      <w:r>
        <w:rPr>
          <w:i/>
          <w:iCs/>
        </w:rPr>
        <w:t xml:space="preserve">Journal of International Business Studies, 56</w:t>
      </w:r>
      <w:r>
        <w:t xml:space="preserve">(4), 777-794.</w:t>
      </w:r>
    </w:p>
    <w:p>
      <w:pPr>
        <w:pStyle w:val="ListParagraph"/>
        <w:numPr>
          <w:ilvl w:val="0"/>
          <w:numId w:val="2"/>
        </w:numPr>
      </w:pPr>
      <w:r>
        <w:t xml:space="preserve">Khanna, T., &amp; Palepu, K. G. (2010). </w:t>
      </w:r>
      <w:r>
        <w:rPr>
          <w:i/>
          <w:iCs/>
        </w:rPr>
        <w:t xml:space="preserve">Winning in Emerging Markets: A Road Map for Strategy and Execution</w:t>
      </w:r>
      <w:r>
        <w:t xml:space="preserve">. Harvard Business Press.</w:t>
      </w:r>
    </w:p>
    <w:p>
      <w:r>
        <w:br w:type="page"/>
      </w:r>
    </w:p>
    <w:p>
      <w:pPr>
        <w:pStyle w:val="Heading1"/>
      </w:pPr>
      <w:r>
        <w:t xml:space="preserve">Section 8: Next Steps &amp; Timeline</w:t>
      </w:r>
    </w:p>
    <w:p>
      <w:pPr>
        <w:pStyle w:val="Heading2"/>
      </w:pPr>
      <w:r>
        <w:t xml:space="preserve">Immediate Actions (Week of Jan 1-7)</w:t>
      </w:r>
    </w:p>
    <w:p>
      <w:pPr>
        <w:pStyle w:val="ListParagraph"/>
        <w:numPr>
          <w:ilvl w:val="0"/>
          <w:numId w:val="3"/>
        </w:numPr>
      </w:pPr>
      <w:r>
        <w:rPr>
          <w:b/>
          <w:bCs/>
        </w:rPr>
        <w:t xml:space="preserve">Apply for Crunchbase Academic Research Program </w:t>
      </w:r>
      <w:r>
        <w:t xml:space="preserve">— use Alfaisal affiliation; mention journal publication goal</w:t>
      </w:r>
    </w:p>
    <w:p>
      <w:pPr>
        <w:pStyle w:val="ListParagraph"/>
        <w:numPr>
          <w:ilvl w:val="0"/>
          <w:numId w:val="3"/>
        </w:numPr>
      </w:pPr>
      <w:r>
        <w:rPr>
          <w:b/>
          <w:bCs/>
        </w:rPr>
        <w:t xml:space="preserve">Check Alfaisal WRDS/VentureXpert access </w:t>
      </w:r>
      <w:r>
        <w:t xml:space="preserve">— email library</w:t>
      </w:r>
    </w:p>
    <w:p>
      <w:pPr>
        <w:pStyle w:val="ListParagraph"/>
        <w:numPr>
          <w:ilvl w:val="0"/>
          <w:numId w:val="3"/>
        </w:numPr>
      </w:pPr>
      <w:r>
        <w:rPr>
          <w:b/>
          <w:bCs/>
        </w:rPr>
        <w:t xml:space="preserve">Begin Africa data collection </w:t>
      </w:r>
      <w:r>
        <w:t xml:space="preserve">— download Partech reports (2015-2024); set up Disrupt Africa monitoring</w:t>
      </w:r>
    </w:p>
    <w:p>
      <w:pPr>
        <w:pStyle w:val="ListParagraph"/>
        <w:numPr>
          <w:ilvl w:val="0"/>
          <w:numId w:val="3"/>
        </w:numPr>
        <w:spacing w:after="200"/>
      </w:pPr>
      <w:r>
        <w:rPr>
          <w:b/>
          <w:bCs/>
        </w:rPr>
        <w:t xml:space="preserve">Draft detailed data collection protocol </w:t>
      </w:r>
      <w:r>
        <w:t xml:space="preserve">— fields to capture; coding scheme; quality checks</w:t>
      </w:r>
    </w:p>
    <w:p>
      <w:pPr>
        <w:pStyle w:val="Heading2"/>
      </w:pPr>
      <w:r>
        <w:t xml:space="preserve">Conference Submission Target (Feb 2, 2026)</w:t>
      </w:r>
    </w:p>
    <w:p>
      <w:pPr>
        <w:pStyle w:val="ListParagraph"/>
        <w:numPr>
          <w:ilvl w:val="0"/>
          <w:numId w:val="2"/>
        </w:numPr>
      </w:pPr>
      <w:r>
        <w:rPr>
          <w:b/>
          <w:bCs/>
        </w:rPr>
        <w:t xml:space="preserve">Format: </w:t>
      </w:r>
      <w:r>
        <w:t xml:space="preserve">Interactive paper (2,000-5,000 words)</w:t>
      </w:r>
    </w:p>
    <w:p>
      <w:pPr>
        <w:pStyle w:val="ListParagraph"/>
        <w:numPr>
          <w:ilvl w:val="0"/>
          <w:numId w:val="2"/>
        </w:numPr>
      </w:pPr>
      <w:r>
        <w:rPr>
          <w:b/>
          <w:bCs/>
        </w:rPr>
        <w:t xml:space="preserve">Content: </w:t>
      </w:r>
      <w:r>
        <w:t xml:space="preserve">Full theory + hypotheses; research design; descriptive network analysis; preliminary results if available</w:t>
      </w:r>
    </w:p>
    <w:p>
      <w:pPr>
        <w:pStyle w:val="ListParagraph"/>
        <w:numPr>
          <w:ilvl w:val="0"/>
          <w:numId w:val="2"/>
        </w:numPr>
        <w:spacing w:after="200"/>
      </w:pPr>
      <w:r>
        <w:rPr>
          <w:b/>
          <w:bCs/>
        </w:rPr>
        <w:t xml:space="preserve">Venue: </w:t>
      </w:r>
      <w:r>
        <w:t xml:space="preserve">AIB Africa 2026, Nairobi (May 27-29)</w:t>
      </w:r>
    </w:p>
    <w:p>
      <w:pPr>
        <w:pStyle w:val="Heading2"/>
      </w:pPr>
      <w:r>
        <w:t xml:space="preserve">Full Paper Target (Q2-Q3 2026)</w:t>
      </w:r>
    </w:p>
    <w:p>
      <w:pPr>
        <w:pStyle w:val="ListParagraph"/>
        <w:numPr>
          <w:ilvl w:val="0"/>
          <w:numId w:val="2"/>
        </w:numPr>
      </w:pPr>
      <w:r>
        <w:rPr>
          <w:b/>
          <w:bCs/>
        </w:rPr>
        <w:t xml:space="preserve">Journal: </w:t>
      </w:r>
      <w:r>
        <w:t xml:space="preserve">JBV (entrepreneurship framing) or JIBS (IB/institutional voids framing)</w:t>
      </w:r>
    </w:p>
    <w:p>
      <w:pPr>
        <w:pStyle w:val="ListParagraph"/>
        <w:numPr>
          <w:ilvl w:val="0"/>
          <w:numId w:val="2"/>
        </w:numPr>
      </w:pPr>
      <w:r>
        <w:rPr>
          <w:b/>
          <w:bCs/>
        </w:rPr>
        <w:t xml:space="preserve">Incorporate: </w:t>
      </w:r>
      <w:r>
        <w:t xml:space="preserve">Conference feedback; complete empirical analysis; robustness tests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VC Networks &amp; High-Risk Ventures — Paper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H%1:"/>
      <w:lvlJc w:val="left"/>
      <w:pPr>
        <w:ind w:left="720" w:hanging="72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365d"/>
      <w:sz w:val="52"/>
      <w:szCs w:val="52"/>
    </w:rPr>
  </w:style>
  <w:style w:type="paragraph" w:styleId="Heading1">
    <w:name w:val="Heading 1"/>
    <w:basedOn w:val="Normal"/>
    <w:next w:val="Normal"/>
    <w:qFormat/>
    <w:pPr>
      <w:spacing w:before="360" w:after="18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i/>
      <w:i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2025-12-31T07:48:45.580Z</dcterms:created>
  <dcterms:modified xsi:type="dcterms:W3CDTF">2025-12-31T07:48:45.581Z</dcterms:modified>
</cp:coreProperties>
</file>

<file path=docProps/custom.xml><?xml version="1.0" encoding="utf-8"?>
<Properties xmlns="http://schemas.openxmlformats.org/officeDocument/2006/custom-properties" xmlns:vt="http://schemas.openxmlformats.org/officeDocument/2006/docPropsVTypes"/>
</file>