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Liability</w:t>
      </w:r>
      <w:r>
        <w:t xml:space="preserve"> </w:t>
      </w:r>
      <w:r>
        <w:t xml:space="preserve">of</w:t>
      </w:r>
      <w:r>
        <w:t xml:space="preserve"> </w:t>
      </w:r>
      <w:r>
        <w:t xml:space="preserve">Embeddedness</w:t>
      </w:r>
      <w:r>
        <w:t xml:space="preserve"> </w:t>
      </w:r>
      <w:r>
        <w:t xml:space="preserve">for</w:t>
      </w:r>
      <w:r>
        <w:t xml:space="preserve"> </w:t>
      </w:r>
      <w:r>
        <w:t xml:space="preserve">Outsiders:</w:t>
      </w:r>
      <w:r>
        <w:t xml:space="preserve"> </w:t>
      </w:r>
      <w:r>
        <w:t xml:space="preserve">Network</w:t>
      </w:r>
      <w:r>
        <w:t xml:space="preserve"> </w:t>
      </w:r>
      <w:r>
        <w:t xml:space="preserve">Density</w:t>
      </w:r>
      <w:r>
        <w:t xml:space="preserve"> </w:t>
      </w:r>
      <w:r>
        <w:t xml:space="preserve">and</w:t>
      </w:r>
      <w:r>
        <w:t xml:space="preserve"> </w:t>
      </w:r>
      <w:r>
        <w:t xml:space="preserve">High-Risk</w:t>
      </w:r>
      <w:r>
        <w:t xml:space="preserve"> </w:t>
      </w:r>
      <w:r>
        <w:t xml:space="preserve">Venture</w:t>
      </w:r>
      <w:r>
        <w:t xml:space="preserve"> </w:t>
      </w:r>
      <w:r>
        <w:t xml:space="preserve">Investment</w:t>
      </w:r>
      <w:r>
        <w:t xml:space="preserve"> </w:t>
      </w:r>
      <w:r>
        <w:t xml:space="preserve">in</w:t>
      </w:r>
      <w:r>
        <w:t xml:space="preserve"> </w:t>
      </w:r>
      <w:r>
        <w:t xml:space="preserve">African</w:t>
      </w:r>
      <w:r>
        <w:t xml:space="preserve"> </w:t>
      </w:r>
      <w:r>
        <w:t xml:space="preserve">Markets</w:t>
      </w:r>
    </w:p>
    <w:p>
      <w:pPr>
        <w:pStyle w:val="Author"/>
      </w:pPr>
      <w:r>
        <w:t xml:space="preserve">Julian</w:t>
      </w:r>
      <w:r>
        <w:t xml:space="preserve"> </w:t>
      </w:r>
      <w:r>
        <w:t xml:space="preserve">Waters-Lynch</w:t>
      </w:r>
      <w:r>
        <w:t xml:space="preserve"> </w:t>
      </w:r>
      <w:r>
        <w:t xml:space="preserve">and</w:t>
      </w:r>
      <w:r>
        <w:t xml:space="preserve"> </w:t>
      </w:r>
      <w:r>
        <w:t xml:space="preserve">Ashenafi</w:t>
      </w:r>
      <w:r>
        <w:t xml:space="preserve"> </w:t>
      </w:r>
      <w:r>
        <w:t xml:space="preserve">Biru</w:t>
      </w:r>
    </w:p>
    <w:p>
      <w:pPr>
        <w:pStyle w:val="Date"/>
      </w:pPr>
      <w:r>
        <w:t xml:space="preserve">Target:</w:t>
      </w:r>
      <w:r>
        <w:t xml:space="preserve"> </w:t>
      </w:r>
      <w:r>
        <w:t xml:space="preserve">Academy</w:t>
      </w:r>
      <w:r>
        <w:t xml:space="preserve"> </w:t>
      </w:r>
      <w:r>
        <w:t xml:space="preserve">of</w:t>
      </w:r>
      <w:r>
        <w:t xml:space="preserve"> </w:t>
      </w:r>
      <w:r>
        <w:t xml:space="preserve">International</w:t>
      </w:r>
      <w:r>
        <w:t xml:space="preserve"> </w:t>
      </w:r>
      <w:r>
        <w:t xml:space="preserve">Business</w:t>
      </w:r>
      <w:r>
        <w:t xml:space="preserve"> </w:t>
      </w:r>
      <w:r>
        <w:t xml:space="preserve">–</w:t>
      </w:r>
      <w:r>
        <w:t xml:space="preserve"> </w:t>
      </w:r>
      <w:r>
        <w:t xml:space="preserve">Africa</w:t>
      </w:r>
      <w:r>
        <w:t xml:space="preserve"> </w:t>
      </w:r>
      <w:r>
        <w:t xml:space="preserve">Conference</w:t>
      </w:r>
      <w:r>
        <w:t xml:space="preserve"> </w:t>
      </w:r>
      <w:r>
        <w:t xml:space="preserve">2026</w:t>
      </w:r>
    </w:p>
    <w:bookmarkStart w:id="20" w:name="abstract"/>
    <w:p>
      <w:pPr>
        <w:pStyle w:val="Heading1"/>
      </w:pPr>
      <w:r>
        <w:t xml:space="preserve">ABSTRACT</w:t>
      </w:r>
    </w:p>
    <w:p>
      <w:pPr>
        <w:pStyle w:val="FirstParagraph"/>
      </w:pPr>
      <w:r>
        <w:t xml:space="preserve">How does network structure shape venture capital risk-taking in emerging markets? Drawing on network closure and information cascade literatures, we examine how co-investment network density affects high-risk venture (HRV) investment in African startup ecosystems. Using deal-level data from Africa: The Big Deal (2019–2024), we analyse VC-year outcomes for 2022–2024 with lagged network measures from the prior three-year window, yielding 901 observations for 558 unique investors. We test whether network density constrains or enables investment in early-stage, hard-tech ventures.</w:t>
      </w:r>
    </w:p>
    <w:p>
      <w:pPr>
        <w:pStyle w:val="BodyText"/>
      </w:pPr>
      <w:r>
        <w:t xml:space="preserve">We hypothesized that network diversity would moderate the effect of density on HRV investment, with diverse networks preventing groupthink. This hypothesis was not supported (β = 0.08, p = 0.54). Instead, we find that the constraining effect of network density is moderated by investor headquarters location: international VCs in dense co-investment networks invest significantly less in high-risk ventures (β = -0.55, p = 0.002), while African-headquartered VCs show no such penalty (β = +0.24, p = 0.26). The difference is statistically significant (z = 2.88, p = 0.004) and robust to common support restrictions (z = 3.24, p = 0.001 after trimming density extremes).</w:t>
      </w:r>
    </w:p>
    <w:p>
      <w:pPr>
        <w:pStyle w:val="BodyText"/>
      </w:pPr>
      <w:r>
        <w:t xml:space="preserve">We interpret this as a</w:t>
      </w:r>
      <w:r>
        <w:t xml:space="preserve"> </w:t>
      </w:r>
      <w:r>
        <w:t xml:space="preserve">“</w:t>
      </w:r>
      <w:r>
        <w:t xml:space="preserve">liability of embeddedness for outsiders</w:t>
      </w:r>
      <w:r>
        <w:t xml:space="preserve">”</w:t>
      </w:r>
      <w:r>
        <w:t xml:space="preserve">: international VCs in dense networks lack the local knowledge to independently evaluate risky opportunities and thus follow conformity signals, while local VCs can leverage network closure for trust without succumbing to herding. Our findings contribute to understanding how network structure interacts with investor characteristics to shape innovation financing in emerging markets.</w:t>
      </w:r>
    </w:p>
    <w:p>
      <w:pPr>
        <w:pStyle w:val="BodyText"/>
      </w:pPr>
      <w:r>
        <w:rPr>
          <w:bCs/>
          <w:b/>
        </w:rPr>
        <w:t xml:space="preserve">Keywords:</w:t>
      </w:r>
      <w:r>
        <w:t xml:space="preserve"> </w:t>
      </w:r>
      <w:r>
        <w:t xml:space="preserve">venture capital, syndication networks, network density, emerging markets, Africa, high-risk investment, liability of foreignness</w:t>
      </w:r>
    </w:p>
    <w:p>
      <w:r>
        <w:pict>
          <v:rect style="width:0;height:1.5pt" o:hralign="center" o:hrstd="t" o:hr="t"/>
        </w:pict>
      </w:r>
    </w:p>
    <w:bookmarkEnd w:id="20"/>
    <w:bookmarkStart w:id="21" w:name="introduction"/>
    <w:p>
      <w:pPr>
        <w:pStyle w:val="Heading1"/>
      </w:pPr>
      <w:r>
        <w:t xml:space="preserve">1. INTRODUCTION</w:t>
      </w:r>
    </w:p>
    <w:p>
      <w:pPr>
        <w:pStyle w:val="FirstParagraph"/>
      </w:pPr>
      <w:r>
        <w:t xml:space="preserve">Venture capital has emerged as a critical driver of innovation and entrepreneurship in African economies. Total VC funding across the continent grew from under $500 million in 2015 to over $3 billion annually by 2022, with significant investment flowing into sectors from fintech to healthtech to agricultural technology (Partech, 2024). Yet amid this growth, a puzzle emerges: despite rhetoric about backing transformative, frontier technologies, the bulk of VC investment concentrates in relatively proven business models—particularly fintech and e-commerce—while early-stage, deep-tech ventures struggle to attract capital (Disrupt Africa, 2024).</w:t>
      </w:r>
    </w:p>
    <w:p>
      <w:pPr>
        <w:pStyle w:val="BodyText"/>
      </w:pPr>
      <w:r>
        <w:t xml:space="preserve">One explanation lies in how venture capitalists are connected to one another. VC syndication—the practice of multiple investors co-investing in the same deal—creates network structures that may shape investment behavior. A substantial literature examines how network position affects VC outcomes, generally finding that well-connected VCs achieve better returns (Hochberg, Ljungqvist, &amp; Lu, 2007). Less understood is how the</w:t>
      </w:r>
      <w:r>
        <w:t xml:space="preserve"> </w:t>
      </w:r>
      <w:r>
        <w:rPr>
          <w:iCs/>
          <w:i/>
        </w:rPr>
        <w:t xml:space="preserve">structure</w:t>
      </w:r>
      <w:r>
        <w:t xml:space="preserve"> </w:t>
      </w:r>
      <w:r>
        <w:t xml:space="preserve">of these networks—particularly the density of connections among a VC’s co-investment partners—affects the</w:t>
      </w:r>
      <w:r>
        <w:t xml:space="preserve"> </w:t>
      </w:r>
      <w:r>
        <w:rPr>
          <w:iCs/>
          <w:i/>
        </w:rPr>
        <w:t xml:space="preserve">types</w:t>
      </w:r>
      <w:r>
        <w:t xml:space="preserve"> </w:t>
      </w:r>
      <w:r>
        <w:t xml:space="preserve">of investments VCs make.</w:t>
      </w:r>
    </w:p>
    <w:p>
      <w:pPr>
        <w:pStyle w:val="BodyText"/>
      </w:pPr>
      <w:r>
        <w:t xml:space="preserve">Theory offers competing predictions. Network closure theory suggests that dense, interconnected networks provide trust, reputation enforcement, and mutual monitoring that could enable risk-taking (Coleman, 1988; Burt, 2005). Conversely, information cascade theory suggests that dense networks can amplify herding behavior, as investors observe and follow others’ choices rather than relying on private information (Bikhchandani, Hirshleifer, &amp; Welch, 1992; Scharfstein &amp; Stein, 1990).</w:t>
      </w:r>
    </w:p>
    <w:p>
      <w:pPr>
        <w:pStyle w:val="BodyText"/>
      </w:pPr>
      <w:r>
        <w:t xml:space="preserve">We propose that this tension is resolved by considering</w:t>
      </w:r>
      <w:r>
        <w:t xml:space="preserve"> </w:t>
      </w:r>
      <w:r>
        <w:rPr>
          <w:iCs/>
          <w:i/>
        </w:rPr>
        <w:t xml:space="preserve">who</w:t>
      </w:r>
      <w:r>
        <w:t xml:space="preserve"> </w:t>
      </w:r>
      <w:r>
        <w:t xml:space="preserve">is embedded in dense networks. For investors with strong local knowledge—such as African-headquartered VCs operating in their home markets—network density may provide trust benefits without creating information dependence. For investors lacking local knowledge—such as international VCs entering unfamiliar African markets—dense networks may instead become echo chambers.</w:t>
      </w:r>
    </w:p>
    <w:p>
      <w:pPr>
        <w:pStyle w:val="BodyText"/>
      </w:pPr>
      <w:r>
        <w:t xml:space="preserve">Our core finding is striking: network density significantly constrains HRV investment for international VCs (β = -0.55, p = 0.002) but has no significant effect for African-headquartered VCs (β = +0.24, p = 0.26). In practical terms, moving from low (-1 SD) to high (+1 SD) network density reduces international VCs’ predicted HRV share by 10.1 percentage points (from 15.3% to 5.2%). African-headquartered VCs show no such penalty, with HRV share essentially unchanged across the density range. The difference between these effects is statistically significant (z = 2.88, p = 0.004).</w:t>
      </w:r>
    </w:p>
    <w:p>
      <w:pPr>
        <w:pStyle w:val="BodyText"/>
      </w:pPr>
      <w:r>
        <w:t xml:space="preserve">Notably, we initially hypothesized that network</w:t>
      </w:r>
      <w:r>
        <w:t xml:space="preserve"> </w:t>
      </w:r>
      <w:r>
        <w:rPr>
          <w:iCs/>
          <w:i/>
        </w:rPr>
        <w:t xml:space="preserve">diversity</w:t>
      </w:r>
      <w:r>
        <w:t xml:space="preserve">—not headquarters location—would moderate the density effect, predicting that diverse networks would prevent groupthink. This hypothesis was not supported (density × diversity: β = 0.08, p = 0.54). Instead, the data reveal that local knowledge, not network composition, determines whether dense networks enable or constrain risk-taking.</w:t>
      </w:r>
    </w:p>
    <w:p>
      <w:pPr>
        <w:pStyle w:val="BodyText"/>
      </w:pPr>
      <w:r>
        <w:t xml:space="preserve">Our study makes three contributions. First, we identify a boundary condition for network closure theory: embeddedness benefits depend on whether investors possess independent information to resist conformity pressure. Second, we contribute to the liability of foreignness literature by showing how network structure amplifies disadvantages facing international investors in unfamiliar markets. Third, we provide practical insights for policymakers seeking to attract international capital to frontier technology sectors.</w:t>
      </w:r>
    </w:p>
    <w:p>
      <w:r>
        <w:pict>
          <v:rect style="width:0;height:1.5pt" o:hralign="center" o:hrstd="t" o:hr="t"/>
        </w:pict>
      </w:r>
    </w:p>
    <w:bookmarkEnd w:id="21"/>
    <w:bookmarkStart w:id="26" w:name="theory-and-hypotheses"/>
    <w:p>
      <w:pPr>
        <w:pStyle w:val="Heading1"/>
      </w:pPr>
      <w:r>
        <w:t xml:space="preserve">2. THEORY AND HYPOTHESES</w:t>
      </w:r>
    </w:p>
    <w:bookmarkStart w:id="22" w:name="X60a12c5a77eaa972df0d2b18165435fbadefbd5"/>
    <w:p>
      <w:pPr>
        <w:pStyle w:val="Heading2"/>
      </w:pPr>
      <w:r>
        <w:t xml:space="preserve">2.1 Network Density and VC Investment Behavior</w:t>
      </w:r>
    </w:p>
    <w:p>
      <w:pPr>
        <w:pStyle w:val="FirstParagraph"/>
      </w:pPr>
      <w:r>
        <w:t xml:space="preserve">Venture capital is fundamentally a networked activity. VCs syndicate investments to share risk, pool expertise, and access deal flow (Lerner, 1994). Over time, repeated co-investment creates network structures that shape information flow, reputation, and behavior. A central construct in network theory is</w:t>
      </w:r>
      <w:r>
        <w:t xml:space="preserve"> </w:t>
      </w:r>
      <w:r>
        <w:rPr>
          <w:iCs/>
          <w:i/>
        </w:rPr>
        <w:t xml:space="preserve">density</w:t>
      </w:r>
      <w:r>
        <w:t xml:space="preserve">—the proportion of possible ties among a set of actors that actually exist (Wasserman &amp; Faust, 1994). In VC syndication networks, density captures the extent to which a focal investor’s co-investment partners are themselves connected to one another.</w:t>
      </w:r>
    </w:p>
    <w:p>
      <w:pPr>
        <w:pStyle w:val="BodyText"/>
      </w:pPr>
      <w:r>
        <w:t xml:space="preserve">Network closure theory, rooted in Coleman’s (1988) work on social capital, suggests that dense networks provide collective benefits. When actors are embedded in tight-knit structures, trust emerges from repeated interaction and mutual monitoring. In VC contexts, dense networks might enable risk-taking by providing confidence that co-investors will follow through on commitments, share information honestly, and support portfolio companies through challenges.</w:t>
      </w:r>
    </w:p>
    <w:p>
      <w:pPr>
        <w:pStyle w:val="BodyText"/>
      </w:pPr>
      <w:r>
        <w:t xml:space="preserve">Conversely, information cascade theory offers a more skeptical view. Bikhchandani et al. (1992) demonstrate how rational actors may discard private information in favor of following observed choices, leading to herding behavior. Scharfstein and Stein (1990) show that reputational concerns can amplify this effect. In dense VC networks, repeated interaction and visible co-investment patterns may create strong conformity pressure, suppressing investment in ventures that deviate from prevailing preferences.</w:t>
      </w:r>
    </w:p>
    <w:bookmarkEnd w:id="22"/>
    <w:bookmarkStart w:id="23" w:name="the-role-of-local-knowledge"/>
    <w:p>
      <w:pPr>
        <w:pStyle w:val="Heading2"/>
      </w:pPr>
      <w:r>
        <w:t xml:space="preserve">2.2 The Role of Local Knowledge</w:t>
      </w:r>
    </w:p>
    <w:p>
      <w:pPr>
        <w:pStyle w:val="FirstParagraph"/>
      </w:pPr>
      <w:r>
        <w:t xml:space="preserve">International business research emphasizes the</w:t>
      </w:r>
      <w:r>
        <w:t xml:space="preserve"> </w:t>
      </w:r>
      <w:r>
        <w:t xml:space="preserve">“</w:t>
      </w:r>
      <w:r>
        <w:t xml:space="preserve">liability of foreignness</w:t>
      </w:r>
      <w:r>
        <w:t xml:space="preserve">”</w:t>
      </w:r>
      <w:r>
        <w:t xml:space="preserve">—the disadvantages that foreign firms face when operating in unfamiliar markets (Zaheer, 1995). We argue that local knowledge determines how investors respond to network density.</w:t>
      </w:r>
    </w:p>
    <w:p>
      <w:pPr>
        <w:pStyle w:val="BodyText"/>
      </w:pPr>
      <w:r>
        <w:t xml:space="preserve">For the local VC, network density provides trust infrastructure without creating information dependence. This investor can independently assess whether a risky healthtech startup addresses a genuine local need, evaluate the founding team’s capabilities, and judge regulatory feasibility. Dense network connections enhance execution capacity without determining</w:t>
      </w:r>
      <w:r>
        <w:t xml:space="preserve"> </w:t>
      </w:r>
      <w:r>
        <w:rPr>
          <w:iCs/>
          <w:i/>
        </w:rPr>
        <w:t xml:space="preserve">what</w:t>
      </w:r>
      <w:r>
        <w:t xml:space="preserve"> </w:t>
      </w:r>
      <w:r>
        <w:t xml:space="preserve">to invest in.</w:t>
      </w:r>
    </w:p>
    <w:p>
      <w:pPr>
        <w:pStyle w:val="BodyText"/>
      </w:pPr>
      <w:r>
        <w:t xml:space="preserve">For the international VC, network density has different implications. Lacking local knowledge to independently evaluate opportunities, this investor relies more heavily on signals from co-investment partners. In a dense network, these signals are highly correlated—partners have observed each other’s choices, discussed deals together, developed shared mental models of what constitutes a</w:t>
      </w:r>
      <w:r>
        <w:t xml:space="preserve"> </w:t>
      </w:r>
      <w:r>
        <w:t xml:space="preserve">“</w:t>
      </w:r>
      <w:r>
        <w:t xml:space="preserve">good</w:t>
      </w:r>
      <w:r>
        <w:t xml:space="preserve">”</w:t>
      </w:r>
      <w:r>
        <w:t xml:space="preserve"> </w:t>
      </w:r>
      <w:r>
        <w:t xml:space="preserve">African investment. The international VC, uncertain about local context, follows these correlated signals toward consensus investments.</w:t>
      </w:r>
    </w:p>
    <w:bookmarkEnd w:id="23"/>
    <w:bookmarkStart w:id="24" w:name="hypotheses"/>
    <w:p>
      <w:pPr>
        <w:pStyle w:val="Heading2"/>
      </w:pPr>
      <w:r>
        <w:t xml:space="preserve">2.3 Hypotheses</w:t>
      </w:r>
    </w:p>
    <w:p>
      <w:pPr>
        <w:pStyle w:val="FirstParagraph"/>
      </w:pPr>
      <w:r>
        <w:t xml:space="preserve">We initially hypothesized that network diversity would moderate the density-HRV relationship:</w:t>
      </w:r>
    </w:p>
    <w:p>
      <w:pPr>
        <w:pStyle w:val="BlockText"/>
      </w:pPr>
      <w:r>
        <w:rPr>
          <w:bCs/>
          <w:b/>
        </w:rPr>
        <w:t xml:space="preserve">H1 (Original):</w:t>
      </w:r>
      <w:r>
        <w:t xml:space="preserve"> </w:t>
      </w:r>
      <w:r>
        <w:t xml:space="preserve">Network density constrains high-risk venture investment when network diversity is low, but not when network diversity is high.</w:t>
      </w:r>
    </w:p>
    <w:p>
      <w:pPr>
        <w:pStyle w:val="FirstParagraph"/>
      </w:pPr>
      <w:r>
        <w:t xml:space="preserve">However, our empirical analysis did not support this hypothesis. We therefore developed and tested an alternative based on the local knowledge argument:</w:t>
      </w:r>
    </w:p>
    <w:p>
      <w:pPr>
        <w:pStyle w:val="BlockText"/>
      </w:pPr>
      <w:r>
        <w:rPr>
          <w:bCs/>
          <w:b/>
        </w:rPr>
        <w:t xml:space="preserve">H2 (Revised):</w:t>
      </w:r>
      <w:r>
        <w:t xml:space="preserve"> </w:t>
      </w:r>
      <w:r>
        <w:t xml:space="preserve">Network density constrains high-risk venture investment for international VCs (who lack local knowledge to resist conformity pressure), but not for African-headquartered VCs (who can independently evaluate opportunities).</w:t>
      </w:r>
    </w:p>
    <w:bookmarkEnd w:id="24"/>
    <w:bookmarkStart w:id="25" w:name="defining-high-risk-ventures"/>
    <w:p>
      <w:pPr>
        <w:pStyle w:val="Heading2"/>
      </w:pPr>
      <w:r>
        <w:t xml:space="preserve">2.4 Defining High-Risk Ventures</w:t>
      </w:r>
    </w:p>
    <w:p>
      <w:pPr>
        <w:pStyle w:val="FirstParagraph"/>
      </w:pPr>
      <w:r>
        <w:t xml:space="preserve">We define HRV as ventures that combine stage and technology risk:</w:t>
      </w:r>
      <w:r>
        <w:t xml:space="preserve"> </w:t>
      </w:r>
      <w:r>
        <w:rPr>
          <w:bCs/>
          <w:b/>
        </w:rPr>
        <w:t xml:space="preserve">HRV = Early-stage AND Hard-tech</w:t>
      </w:r>
      <w:r>
        <w:t xml:space="preserve">. Early-stage includes Seed and Series A rounds. Hard-tech includes sectors characterized by technological uncertainty: healthtech/medtech/biotech, cleantech/energy, agritech, AI/ML, hardware, and deeptech. We explicitly exclude fintech—despite its prominence in African VC—because fintech ventures face primarily market and regulatory risk rather than technological uncertainty.</w:t>
      </w:r>
    </w:p>
    <w:p>
      <w:r>
        <w:pict>
          <v:rect style="width:0;height:1.5pt" o:hralign="center" o:hrstd="t" o:hr="t"/>
        </w:pict>
      </w:r>
    </w:p>
    <w:bookmarkEnd w:id="25"/>
    <w:bookmarkEnd w:id="26"/>
    <w:bookmarkStart w:id="32" w:name="methods"/>
    <w:p>
      <w:pPr>
        <w:pStyle w:val="Heading1"/>
      </w:pPr>
      <w:r>
        <w:t xml:space="preserve">3. METHODS</w:t>
      </w:r>
    </w:p>
    <w:bookmarkStart w:id="27" w:name="data-and-sample"/>
    <w:p>
      <w:pPr>
        <w:pStyle w:val="Heading2"/>
      </w:pPr>
      <w:r>
        <w:t xml:space="preserve">3.1 Data and Sample</w:t>
      </w:r>
    </w:p>
    <w:p>
      <w:pPr>
        <w:pStyle w:val="FirstParagraph"/>
      </w:pPr>
      <w:r>
        <w:t xml:space="preserve">We use deal-level data from Africa: The Big Deal (ATBD), a subscription database tracking VC investments in African startups. ATBD provides comprehensive coverage of disclosed funding rounds from 2019 onwards, including investor names per deal—the critical information needed to construct co-investment networks. Our raw dataset includes 4,173 deals involving 2,457 unique investor entities. The unit of analysis is the VC-year: one observation per investor per calendar year. We restrict analysis to 2022–2024 to allow a three-year lookback window for network construction (using 2019–2021 data). This yields 901 VC-year observations for 558 unique investors. African-headquartered VCs comprise 33% of observations (n = 295); international VCs comprise 67% (n = 606).</w:t>
      </w:r>
    </w:p>
    <w:bookmarkEnd w:id="27"/>
    <w:bookmarkStart w:id="28" w:name="network-construction"/>
    <w:p>
      <w:pPr>
        <w:pStyle w:val="Heading2"/>
      </w:pPr>
      <w:r>
        <w:t xml:space="preserve">3.2 Network Construction</w:t>
      </w:r>
    </w:p>
    <w:p>
      <w:pPr>
        <w:pStyle w:val="FirstParagraph"/>
      </w:pPr>
      <w:r>
        <w:t xml:space="preserve">We construct ego-network measures using a global graph approach. For each year t, we build the global co-investment network for the window [t-3, t-1]:</w:t>
      </w:r>
    </w:p>
    <w:p>
      <w:pPr>
        <w:numPr>
          <w:ilvl w:val="0"/>
          <w:numId w:val="1001"/>
        </w:numPr>
        <w:pStyle w:val="Compact"/>
      </w:pPr>
      <w:r>
        <w:rPr>
          <w:bCs/>
          <w:b/>
        </w:rPr>
        <w:t xml:space="preserve">Nodes:</w:t>
      </w:r>
      <w:r>
        <w:t xml:space="preserve"> </w:t>
      </w:r>
      <w:r>
        <w:t xml:space="preserve">All investors who participated in any deal during the window</w:t>
      </w:r>
    </w:p>
    <w:p>
      <w:pPr>
        <w:numPr>
          <w:ilvl w:val="0"/>
          <w:numId w:val="1001"/>
        </w:numPr>
        <w:pStyle w:val="Compact"/>
      </w:pPr>
      <w:r>
        <w:rPr>
          <w:bCs/>
          <w:b/>
        </w:rPr>
        <w:t xml:space="preserve">Edges:</w:t>
      </w:r>
      <w:r>
        <w:t xml:space="preserve"> </w:t>
      </w:r>
      <w:r>
        <w:t xml:space="preserve">Connect two investors if they co-invested in at least one deal</w:t>
      </w:r>
    </w:p>
    <w:p>
      <w:pPr>
        <w:pStyle w:val="FirstParagraph"/>
      </w:pPr>
      <w:r>
        <w:t xml:space="preserve">For each focal investor i, we identify partners (all nodes connected to i), extract the</w:t>
      </w:r>
      <w:r>
        <w:t xml:space="preserve"> </w:t>
      </w:r>
      <w:r>
        <w:rPr>
          <w:iCs/>
          <w:i/>
        </w:rPr>
        <w:t xml:space="preserve">induced subgraph</w:t>
      </w:r>
      <w:r>
        <w:t xml:space="preserve"> </w:t>
      </w:r>
      <w:r>
        <w:t xml:space="preserve">on these partners (excluding investor i), and compute</w:t>
      </w:r>
      <w:r>
        <w:t xml:space="preserve"> </w:t>
      </w:r>
      <w:r>
        <w:rPr>
          <w:iCs/>
          <w:i/>
        </w:rPr>
        <w:t xml:space="preserve">ego-network density</w:t>
      </w:r>
      <w:r>
        <w:t xml:space="preserve"> </w:t>
      </w:r>
      <w:r>
        <w:t xml:space="preserve">= actual edges / possible edges.</w:t>
      </w:r>
    </w:p>
    <w:p>
      <w:pPr>
        <w:pStyle w:val="BodyText"/>
      </w:pPr>
      <w:r>
        <w:t xml:space="preserve">This approach correctly captures partner-to-partner ties formed</w:t>
      </w:r>
      <w:r>
        <w:t xml:space="preserve"> </w:t>
      </w:r>
      <w:r>
        <w:rPr>
          <w:iCs/>
          <w:i/>
        </w:rPr>
        <w:t xml:space="preserve">outside</w:t>
      </w:r>
      <w:r>
        <w:t xml:space="preserve"> </w:t>
      </w:r>
      <w:r>
        <w:t xml:space="preserve">the focal investor’s own deals. Verification confirmed that 86% of investors have additional partner ties captured through this global graph method, with a mean of 40 extra edges per investor compared to a naive approach counting only ties within the focal investor’s syndicates (see Appendix A0).</w:t>
      </w:r>
    </w:p>
    <w:bookmarkEnd w:id="28"/>
    <w:bookmarkStart w:id="29" w:name="variables"/>
    <w:p>
      <w:pPr>
        <w:pStyle w:val="Heading2"/>
      </w:pPr>
      <w:r>
        <w:t xml:space="preserve">3.3 Variables</w:t>
      </w:r>
    </w:p>
    <w:p>
      <w:pPr>
        <w:pStyle w:val="FirstParagraph"/>
      </w:pPr>
      <w:r>
        <w:rPr>
          <w:bCs/>
          <w:b/>
        </w:rPr>
        <w:t xml:space="preserve">Dependent Variable:</w:t>
      </w:r>
      <w:r>
        <w:t xml:space="preserve"> </w:t>
      </w:r>
      <w:r>
        <w:t xml:space="preserve">HRV Share = proportion of focal investor’s deals in year t that are high-risk ventures (early-stage AND hard-tech). Ranges from 0 to 1.</w:t>
      </w:r>
    </w:p>
    <w:p>
      <w:pPr>
        <w:pStyle w:val="BodyText"/>
      </w:pPr>
      <w:r>
        <w:rPr>
          <w:bCs/>
          <w:b/>
        </w:rPr>
        <w:t xml:space="preserve">Independent Variables:</w:t>
      </w:r>
      <w:r>
        <w:t xml:space="preserve"> </w:t>
      </w:r>
      <w:r>
        <w:t xml:space="preserve">Network Density (standardized), Network Diversity (z-scored average of investor-type and geographic Blau indices), African HQ (binary indicator).</w:t>
      </w:r>
    </w:p>
    <w:p>
      <w:pPr>
        <w:pStyle w:val="BodyText"/>
      </w:pPr>
      <w:r>
        <w:rPr>
          <w:bCs/>
          <w:b/>
        </w:rPr>
        <w:t xml:space="preserve">Control Variables:</w:t>
      </w:r>
      <w:r>
        <w:t xml:space="preserve"> </w:t>
      </w:r>
      <w:r>
        <w:t xml:space="preserve">Ego Size (log-transformed number of partners), Experience (log-transformed cumulative deals), Year Fixed Effects.</w:t>
      </w:r>
    </w:p>
    <w:bookmarkEnd w:id="29"/>
    <w:bookmarkStart w:id="30" w:name="estimation"/>
    <w:p>
      <w:pPr>
        <w:pStyle w:val="Heading2"/>
      </w:pPr>
      <w:r>
        <w:t xml:space="preserve">3.4 Estimation</w:t>
      </w:r>
    </w:p>
    <w:p>
      <w:pPr>
        <w:pStyle w:val="FirstParagraph"/>
      </w:pPr>
      <w:r>
        <w:t xml:space="preserve">Given a fractional dependent variable (HRV share bounded between 0 and 1), we estimate fractional logit models using generalized estimating equations (GEE) with an exchangeable correlation structure. Standard errors are clustered by investor to account for repeated observations. We treat the split-sample difference test as primary evidence because it is stable across comparability restrictions; interaction-model inference is reported as supporting evidence and is sensitive to specification. We report both pooled models and split-sample analyses by headquarters location, with formal tests of coefficient differences.</w:t>
      </w:r>
    </w:p>
    <w:bookmarkEnd w:id="30"/>
    <w:bookmarkStart w:id="31" w:name="identification-challenges"/>
    <w:p>
      <w:pPr>
        <w:pStyle w:val="Heading2"/>
      </w:pPr>
      <w:r>
        <w:t xml:space="preserve">3.5 Identification Challenges</w:t>
      </w:r>
    </w:p>
    <w:p>
      <w:pPr>
        <w:pStyle w:val="FirstParagraph"/>
      </w:pPr>
      <w:r>
        <w:t xml:space="preserve">Our design is observational and cannot establish causality. Network density is not randomly assigned; investors choose their co-investment partners. We address selection by controlling for experience and examining within-group variation. Our lagged network window (t-3 to t-1) partially addresses reverse causality. We interpret our results as documenting associations consistent with theorized mechanisms, not causal effects.</w:t>
      </w:r>
    </w:p>
    <w:p>
      <w:r>
        <w:pict>
          <v:rect style="width:0;height:1.5pt" o:hralign="center" o:hrstd="t" o:hr="t"/>
        </w:pict>
      </w:r>
    </w:p>
    <w:bookmarkEnd w:id="31"/>
    <w:bookmarkEnd w:id="32"/>
    <w:bookmarkStart w:id="37" w:name="results"/>
    <w:p>
      <w:pPr>
        <w:pStyle w:val="Heading1"/>
      </w:pPr>
      <w:r>
        <w:t xml:space="preserve">4. RESULTS</w:t>
      </w:r>
    </w:p>
    <w:bookmarkStart w:id="33" w:name="descriptive-statistics"/>
    <w:p>
      <w:pPr>
        <w:pStyle w:val="Heading2"/>
      </w:pPr>
      <w:r>
        <w:t xml:space="preserve">4.1 Descriptive Statistics</w:t>
      </w:r>
    </w:p>
    <w:p>
      <w:pPr>
        <w:pStyle w:val="FirstParagraph"/>
      </w:pPr>
      <w:r>
        <w:t xml:space="preserve">Table 1 presents summary statistics for key variables. The average VC invests 12.2% of their portfolio in high-risk ventures. Network density averages 0.57, indicating moderately connected ego-networks. African-headquartered VCs have significantly lower average density (0.50) than international VCs (0.61, t = 4.67, p &lt; 0.001), and higher network diversity (+0.23 SD, p &lt; 0.001).</w:t>
      </w:r>
    </w:p>
    <w:p>
      <w:pPr>
        <w:pStyle w:val="BodyText"/>
      </w:pPr>
      <w:r>
        <w:rPr>
          <w:bCs/>
          <w:b/>
        </w:rPr>
        <w:t xml:space="preserve">Table 1: Descriptive Statistics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Variable</w:t>
            </w:r>
          </w:p>
        </w:tc>
        <w:tc>
          <w:tcPr/>
          <w:p>
            <w:pPr>
              <w:pStyle w:val="Compact"/>
              <w:jc w:val="left"/>
            </w:pPr>
            <w:r>
              <w:t xml:space="preserve">Full Sample</w:t>
            </w:r>
          </w:p>
        </w:tc>
        <w:tc>
          <w:tcPr/>
          <w:p>
            <w:pPr>
              <w:pStyle w:val="Compact"/>
              <w:jc w:val="left"/>
            </w:pPr>
            <w:r>
              <w:t xml:space="preserve">International</w:t>
            </w:r>
          </w:p>
        </w:tc>
        <w:tc>
          <w:tcPr/>
          <w:p>
            <w:pPr>
              <w:pStyle w:val="Compact"/>
              <w:jc w:val="left"/>
            </w:pPr>
            <w:r>
              <w:t xml:space="preserve">African</w:t>
            </w:r>
          </w:p>
        </w:tc>
        <w:tc>
          <w:tcPr/>
          <w:p>
            <w:pPr>
              <w:pStyle w:val="Compact"/>
              <w:jc w:val="left"/>
            </w:pPr>
            <w:r>
              <w:t xml:space="preserve">Diff. p</w:t>
            </w:r>
          </w:p>
        </w:tc>
      </w:tr>
      <w:tr>
        <w:tc>
          <w:tcPr/>
          <w:p>
            <w:pPr>
              <w:pStyle w:val="Compact"/>
              <w:jc w:val="left"/>
            </w:pPr>
            <w:r>
              <w:t xml:space="preserve">N</w:t>
            </w:r>
          </w:p>
        </w:tc>
        <w:tc>
          <w:tcPr/>
          <w:p>
            <w:pPr>
              <w:pStyle w:val="Compact"/>
              <w:jc w:val="left"/>
            </w:pPr>
            <w:r>
              <w:t xml:space="preserve">901</w:t>
            </w:r>
          </w:p>
        </w:tc>
        <w:tc>
          <w:tcPr/>
          <w:p>
            <w:pPr>
              <w:pStyle w:val="Compact"/>
              <w:jc w:val="left"/>
            </w:pPr>
            <w:r>
              <w:t xml:space="preserve">606</w:t>
            </w:r>
          </w:p>
        </w:tc>
        <w:tc>
          <w:tcPr/>
          <w:p>
            <w:pPr>
              <w:pStyle w:val="Compact"/>
              <w:jc w:val="left"/>
            </w:pPr>
            <w:r>
              <w:t xml:space="preserve">295</w:t>
            </w:r>
          </w:p>
        </w:tc>
        <w:tc>
          <w:tcPr/>
          <w:p>
            <w:pPr>
              <w:pStyle w:val="Compact"/>
            </w:pPr>
          </w:p>
        </w:tc>
      </w:tr>
      <w:tr>
        <w:tc>
          <w:tcPr/>
          <w:p>
            <w:pPr>
              <w:pStyle w:val="Compact"/>
              <w:jc w:val="left"/>
            </w:pPr>
            <w:r>
              <w:t xml:space="preserve">HRV Share</w:t>
            </w:r>
          </w:p>
        </w:tc>
        <w:tc>
          <w:tcPr/>
          <w:p>
            <w:pPr>
              <w:pStyle w:val="Compact"/>
              <w:jc w:val="left"/>
            </w:pPr>
            <w:r>
              <w:t xml:space="preserve">0.12 (0.28)</w:t>
            </w:r>
          </w:p>
        </w:tc>
        <w:tc>
          <w:tcPr/>
          <w:p>
            <w:pPr>
              <w:pStyle w:val="Compact"/>
              <w:jc w:val="left"/>
            </w:pPr>
            <w:r>
              <w:t xml:space="preserve">0.11 (0.27)</w:t>
            </w:r>
          </w:p>
        </w:tc>
        <w:tc>
          <w:tcPr/>
          <w:p>
            <w:pPr>
              <w:pStyle w:val="Compact"/>
              <w:jc w:val="left"/>
            </w:pPr>
            <w:r>
              <w:t xml:space="preserve">0.14 (0.28)</w:t>
            </w:r>
          </w:p>
        </w:tc>
        <w:tc>
          <w:tcPr/>
          <w:p>
            <w:pPr>
              <w:pStyle w:val="Compact"/>
              <w:jc w:val="left"/>
            </w:pPr>
            <w:r>
              <w:t xml:space="preserve">0.141</w:t>
            </w:r>
          </w:p>
        </w:tc>
      </w:tr>
      <w:tr>
        <w:tc>
          <w:tcPr/>
          <w:p>
            <w:pPr>
              <w:pStyle w:val="Compact"/>
              <w:jc w:val="left"/>
            </w:pPr>
            <w:r>
              <w:t xml:space="preserve">Ego Density</w:t>
            </w:r>
          </w:p>
        </w:tc>
        <w:tc>
          <w:tcPr/>
          <w:p>
            <w:pPr>
              <w:pStyle w:val="Compact"/>
              <w:jc w:val="left"/>
            </w:pPr>
            <w:r>
              <w:t xml:space="preserve">0.57 (0.34)</w:t>
            </w:r>
          </w:p>
        </w:tc>
        <w:tc>
          <w:tcPr/>
          <w:p>
            <w:pPr>
              <w:pStyle w:val="Compact"/>
              <w:jc w:val="left"/>
            </w:pPr>
            <w:r>
              <w:t xml:space="preserve">0.61 (0.34)</w:t>
            </w:r>
          </w:p>
        </w:tc>
        <w:tc>
          <w:tcPr/>
          <w:p>
            <w:pPr>
              <w:pStyle w:val="Compact"/>
              <w:jc w:val="left"/>
            </w:pPr>
            <w:r>
              <w:t xml:space="preserve">0.50 (0.31)</w:t>
            </w:r>
          </w:p>
        </w:tc>
        <w:tc>
          <w:tcPr/>
          <w:p>
            <w:pPr>
              <w:pStyle w:val="Compact"/>
              <w:jc w:val="left"/>
            </w:pPr>
            <w:r>
              <w:t xml:space="preserve">&lt;0.001</w:t>
            </w:r>
          </w:p>
        </w:tc>
      </w:tr>
      <w:tr>
        <w:tc>
          <w:tcPr/>
          <w:p>
            <w:pPr>
              <w:pStyle w:val="Compact"/>
              <w:jc w:val="left"/>
            </w:pPr>
            <w:r>
              <w:t xml:space="preserve">Diversity</w:t>
            </w:r>
          </w:p>
        </w:tc>
        <w:tc>
          <w:tcPr/>
          <w:p>
            <w:pPr>
              <w:pStyle w:val="Compact"/>
              <w:jc w:val="left"/>
            </w:pPr>
            <w:r>
              <w:t xml:space="preserve">0.25 (0.81)</w:t>
            </w:r>
          </w:p>
        </w:tc>
        <w:tc>
          <w:tcPr/>
          <w:p>
            <w:pPr>
              <w:pStyle w:val="Compact"/>
              <w:jc w:val="left"/>
            </w:pPr>
            <w:r>
              <w:t xml:space="preserve">0.18 (0.82)</w:t>
            </w:r>
          </w:p>
        </w:tc>
        <w:tc>
          <w:tcPr/>
          <w:p>
            <w:pPr>
              <w:pStyle w:val="Compact"/>
              <w:jc w:val="left"/>
            </w:pPr>
            <w:r>
              <w:t xml:space="preserve">0.41 (0.76)</w:t>
            </w:r>
          </w:p>
        </w:tc>
        <w:tc>
          <w:tcPr/>
          <w:p>
            <w:pPr>
              <w:pStyle w:val="Compact"/>
              <w:jc w:val="left"/>
            </w:pPr>
            <w:r>
              <w:t xml:space="preserve">&lt;0.001</w:t>
            </w:r>
          </w:p>
        </w:tc>
      </w:tr>
      <w:tr>
        <w:tc>
          <w:tcPr/>
          <w:p>
            <w:pPr>
              <w:pStyle w:val="Compact"/>
              <w:jc w:val="left"/>
            </w:pPr>
            <w:r>
              <w:t xml:space="preserve">Ego Size</w:t>
            </w:r>
          </w:p>
        </w:tc>
        <w:tc>
          <w:tcPr/>
          <w:p>
            <w:pPr>
              <w:pStyle w:val="Compact"/>
              <w:jc w:val="left"/>
            </w:pPr>
            <w:r>
              <w:t xml:space="preserve">20.0 (24.7)</w:t>
            </w:r>
          </w:p>
        </w:tc>
        <w:tc>
          <w:tcPr/>
          <w:p>
            <w:pPr>
              <w:pStyle w:val="Compact"/>
              <w:jc w:val="left"/>
            </w:pPr>
            <w:r>
              <w:t xml:space="preserve">18.4 (22.3)</w:t>
            </w:r>
          </w:p>
        </w:tc>
        <w:tc>
          <w:tcPr/>
          <w:p>
            <w:pPr>
              <w:pStyle w:val="Compact"/>
              <w:jc w:val="left"/>
            </w:pPr>
            <w:r>
              <w:t xml:space="preserve">23.4 (28.7)</w:t>
            </w:r>
          </w:p>
        </w:tc>
        <w:tc>
          <w:tcPr/>
          <w:p>
            <w:pPr>
              <w:pStyle w:val="Compact"/>
              <w:jc w:val="left"/>
            </w:pPr>
            <w:r>
              <w:t xml:space="preserve">0.005</w:t>
            </w:r>
          </w:p>
        </w:tc>
      </w:tr>
      <w:tr>
        <w:tc>
          <w:tcPr/>
          <w:p>
            <w:pPr>
              <w:pStyle w:val="Compact"/>
              <w:jc w:val="left"/>
            </w:pPr>
            <w:r>
              <w:t xml:space="preserve">Experience</w:t>
            </w:r>
          </w:p>
        </w:tc>
        <w:tc>
          <w:tcPr/>
          <w:p>
            <w:pPr>
              <w:pStyle w:val="Compact"/>
              <w:jc w:val="left"/>
            </w:pPr>
            <w:r>
              <w:t xml:space="preserve">8.0 (13.9)</w:t>
            </w:r>
          </w:p>
        </w:tc>
        <w:tc>
          <w:tcPr/>
          <w:p>
            <w:pPr>
              <w:pStyle w:val="Compact"/>
              <w:jc w:val="left"/>
            </w:pPr>
            <w:r>
              <w:t xml:space="preserve">6.9 (12.2)</w:t>
            </w:r>
          </w:p>
        </w:tc>
        <w:tc>
          <w:tcPr/>
          <w:p>
            <w:pPr>
              <w:pStyle w:val="Compact"/>
              <w:jc w:val="left"/>
            </w:pPr>
            <w:r>
              <w:t xml:space="preserve">10.1 (16.6)</w:t>
            </w:r>
          </w:p>
        </w:tc>
        <w:tc>
          <w:tcPr/>
          <w:p>
            <w:pPr>
              <w:pStyle w:val="Compact"/>
              <w:jc w:val="left"/>
            </w:pPr>
            <w:r>
              <w:t xml:space="preserve">0.001</w:t>
            </w:r>
          </w:p>
        </w:tc>
      </w:tr>
    </w:tbl>
    <w:p>
      <w:pPr>
        <w:pStyle w:val="BodyText"/>
      </w:pPr>
      <w:r>
        <w:rPr>
          <w:iCs/>
          <w:i/>
        </w:rPr>
        <w:t xml:space="preserve">Notes: Standard deviations in parentheses. Difference p-value from two-sample t-test.</w:t>
      </w:r>
    </w:p>
    <w:bookmarkEnd w:id="33"/>
    <w:bookmarkStart w:id="34" w:name="main-results"/>
    <w:p>
      <w:pPr>
        <w:pStyle w:val="Heading2"/>
      </w:pPr>
      <w:r>
        <w:t xml:space="preserve">4.2 Main Results</w:t>
      </w:r>
    </w:p>
    <w:p>
      <w:pPr>
        <w:pStyle w:val="FirstParagraph"/>
      </w:pPr>
      <w:r>
        <w:t xml:space="preserve">Table 2 presents our main regression results. Model 1 shows that network density is negatively associated with HRV investment (β = -0.37, p = 0.028). Model 2 adds network diversity, which has a positive effect (β = 0.34, p = 0.016); density remains significantly negative. Model 3 tests our original hypothesis by including the density × diversity interaction.</w:t>
      </w:r>
      <w:r>
        <w:t xml:space="preserve"> </w:t>
      </w:r>
      <w:r>
        <w:rPr>
          <w:bCs/>
          <w:b/>
        </w:rPr>
        <w:t xml:space="preserve">The interaction is not significant</w:t>
      </w:r>
      <w:r>
        <w:t xml:space="preserve"> </w:t>
      </w:r>
      <w:r>
        <w:t xml:space="preserve">(β = 0.08, p = 0.54), failing to support H1.</w:t>
      </w:r>
    </w:p>
    <w:p>
      <w:pPr>
        <w:pStyle w:val="BodyText"/>
      </w:pPr>
      <w:r>
        <w:t xml:space="preserve">Model 4 tests H2 by including the density × African HQ interaction. The interaction coefficient suggests the density effect differs by headquarters location. However, the interaction p-value is specification-sensitive (ranging from p = 0.04 to p = 0.26 depending on estimator and controls). We therefore foreground the split-sample difference test as our primary evidence.</w:t>
      </w:r>
    </w:p>
    <w:bookmarkEnd w:id="34"/>
    <w:bookmarkStart w:id="35" w:name="split-sample-analysis"/>
    <w:p>
      <w:pPr>
        <w:pStyle w:val="Heading2"/>
      </w:pPr>
      <w:r>
        <w:t xml:space="preserve">4.3 Split-Sample Analysis</w:t>
      </w:r>
    </w:p>
    <w:p>
      <w:pPr>
        <w:pStyle w:val="FirstParagraph"/>
      </w:pPr>
      <w:r>
        <w:t xml:space="preserve">To provide cleaner evidence, Table 3 reports separate models by headquarters location. The split-sample results are striking. For international VCs, network density has a strong negative effect on HRV investment (β = -0.55, p = 0.002). For African VCs, the effect is positive but not significant (β = +0.24, p = 0.26). The difference between these effects is highly significant (z = 2.88, p = 0.004).</w:t>
      </w:r>
    </w:p>
    <w:p>
      <w:pPr>
        <w:pStyle w:val="BodyText"/>
      </w:pPr>
      <w:r>
        <w:t xml:space="preserve">In practical terms, moving from low (-1 SD) to high (+1 SD) network density reduces international VCs’ predicted HRV share by 10.1 percentage points (from 15.3% to 5.2%). African-headquartered VCs show no such penalty, with HRV share essentially unchanged (13.0% to 15.9%) across the density range.</w:t>
      </w:r>
    </w:p>
    <w:p>
      <w:pPr>
        <w:pStyle w:val="BodyText"/>
      </w:pPr>
      <w:r>
        <w:rPr>
          <w:bCs/>
          <w:b/>
        </w:rPr>
        <w:t xml:space="preserve">Table 3: Split-Sample Results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International VCs</w:t>
            </w:r>
          </w:p>
        </w:tc>
        <w:tc>
          <w:tcPr/>
          <w:p>
            <w:pPr>
              <w:pStyle w:val="Compact"/>
              <w:jc w:val="left"/>
            </w:pPr>
            <w:r>
              <w:t xml:space="preserve">African VCs</w:t>
            </w:r>
          </w:p>
        </w:tc>
        <w:tc>
          <w:tcPr/>
          <w:p>
            <w:pPr>
              <w:pStyle w:val="Compact"/>
              <w:jc w:val="left"/>
            </w:pPr>
            <w:r>
              <w:t xml:space="preserve">Difference</w:t>
            </w:r>
          </w:p>
        </w:tc>
      </w:tr>
      <w:tr>
        <w:tc>
          <w:tcPr/>
          <w:p>
            <w:pPr>
              <w:pStyle w:val="Compact"/>
              <w:jc w:val="left"/>
            </w:pPr>
            <w:r>
              <w:t xml:space="preserve">N</w:t>
            </w:r>
          </w:p>
        </w:tc>
        <w:tc>
          <w:tcPr/>
          <w:p>
            <w:pPr>
              <w:pStyle w:val="Compact"/>
              <w:jc w:val="left"/>
            </w:pPr>
            <w:r>
              <w:t xml:space="preserve">606</w:t>
            </w:r>
          </w:p>
        </w:tc>
        <w:tc>
          <w:tcPr/>
          <w:p>
            <w:pPr>
              <w:pStyle w:val="Compact"/>
              <w:jc w:val="left"/>
            </w:pPr>
            <w:r>
              <w:t xml:space="preserve">295</w:t>
            </w:r>
          </w:p>
        </w:tc>
        <w:tc>
          <w:tcPr/>
          <w:p>
            <w:pPr>
              <w:pStyle w:val="Compact"/>
            </w:pPr>
          </w:p>
        </w:tc>
      </w:tr>
      <w:tr>
        <w:tc>
          <w:tcPr/>
          <w:p>
            <w:pPr>
              <w:pStyle w:val="Compact"/>
              <w:jc w:val="left"/>
            </w:pPr>
            <w:r>
              <w:t xml:space="preserve">Density β</w:t>
            </w:r>
          </w:p>
        </w:tc>
        <w:tc>
          <w:tcPr/>
          <w:p>
            <w:pPr>
              <w:pStyle w:val="Compact"/>
              <w:jc w:val="left"/>
            </w:pPr>
            <w:r>
              <w:t xml:space="preserve">-0.55**</w:t>
            </w:r>
          </w:p>
        </w:tc>
        <w:tc>
          <w:tcPr/>
          <w:p>
            <w:pPr>
              <w:pStyle w:val="Compact"/>
              <w:jc w:val="left"/>
            </w:pPr>
            <w:r>
              <w:t xml:space="preserve">+0.24</w:t>
            </w:r>
          </w:p>
        </w:tc>
        <w:tc>
          <w:tcPr/>
          <w:p>
            <w:pPr>
              <w:pStyle w:val="Compact"/>
              <w:jc w:val="left"/>
            </w:pPr>
            <w:r>
              <w:t xml:space="preserve">+0.79**</w:t>
            </w:r>
          </w:p>
        </w:tc>
      </w:tr>
      <w:tr>
        <w:tc>
          <w:tcPr/>
          <w:p>
            <w:pPr>
              <w:pStyle w:val="Compact"/>
              <w:jc w:val="left"/>
            </w:pPr>
            <w:r>
              <w:t xml:space="preserve">SE</w:t>
            </w:r>
          </w:p>
        </w:tc>
        <w:tc>
          <w:tcPr/>
          <w:p>
            <w:pPr>
              <w:pStyle w:val="Compact"/>
              <w:jc w:val="left"/>
            </w:pPr>
            <w:r>
              <w:t xml:space="preserve">(0.17)</w:t>
            </w:r>
          </w:p>
        </w:tc>
        <w:tc>
          <w:tcPr/>
          <w:p>
            <w:pPr>
              <w:pStyle w:val="Compact"/>
              <w:jc w:val="left"/>
            </w:pPr>
            <w:r>
              <w:t xml:space="preserve">(0.21)</w:t>
            </w:r>
          </w:p>
        </w:tc>
        <w:tc>
          <w:tcPr/>
          <w:p>
            <w:pPr>
              <w:pStyle w:val="Compact"/>
              <w:jc w:val="left"/>
            </w:pPr>
            <w:r>
              <w:t xml:space="preserve">(0.27)</w:t>
            </w:r>
          </w:p>
        </w:tc>
      </w:tr>
      <w:tr>
        <w:tc>
          <w:tcPr/>
          <w:p>
            <w:pPr>
              <w:pStyle w:val="Compact"/>
              <w:jc w:val="left"/>
            </w:pPr>
            <w:r>
              <w:t xml:space="preserve">p-value</w:t>
            </w:r>
          </w:p>
        </w:tc>
        <w:tc>
          <w:tcPr/>
          <w:p>
            <w:pPr>
              <w:pStyle w:val="Compact"/>
              <w:jc w:val="left"/>
            </w:pPr>
            <w:r>
              <w:t xml:space="preserve">0.002</w:t>
            </w:r>
          </w:p>
        </w:tc>
        <w:tc>
          <w:tcPr/>
          <w:p>
            <w:pPr>
              <w:pStyle w:val="Compact"/>
              <w:jc w:val="left"/>
            </w:pPr>
            <w:r>
              <w:t xml:space="preserve">0.256</w:t>
            </w:r>
          </w:p>
        </w:tc>
        <w:tc>
          <w:tcPr/>
          <w:p>
            <w:pPr>
              <w:pStyle w:val="Compact"/>
              <w:jc w:val="left"/>
            </w:pPr>
            <w:r>
              <w:t xml:space="preserve">0.004</w:t>
            </w:r>
          </w:p>
        </w:tc>
      </w:tr>
      <w:tr>
        <w:tc>
          <w:tcPr/>
          <w:p>
            <w:pPr>
              <w:pStyle w:val="Compact"/>
              <w:jc w:val="left"/>
            </w:pPr>
            <w:r>
              <w:t xml:space="preserve">z-statistic</w:t>
            </w:r>
          </w:p>
        </w:tc>
        <w:tc>
          <w:tcPr/>
          <w:p>
            <w:pPr>
              <w:pStyle w:val="Compact"/>
            </w:pPr>
          </w:p>
        </w:tc>
        <w:tc>
          <w:tcPr/>
          <w:p>
            <w:pPr>
              <w:pStyle w:val="Compact"/>
            </w:pPr>
          </w:p>
        </w:tc>
        <w:tc>
          <w:tcPr/>
          <w:p>
            <w:pPr>
              <w:pStyle w:val="Compact"/>
              <w:jc w:val="left"/>
            </w:pPr>
            <w:r>
              <w:t xml:space="preserve">2.88</w:t>
            </w:r>
          </w:p>
        </w:tc>
      </w:tr>
      <w:tr>
        <w:tc>
          <w:tcPr/>
          <w:p>
            <w:pPr>
              <w:pStyle w:val="Compact"/>
              <w:jc w:val="left"/>
            </w:pPr>
            <w:r>
              <w:t xml:space="preserve">Controls</w:t>
            </w:r>
          </w:p>
        </w:tc>
        <w:tc>
          <w:tcPr/>
          <w:p>
            <w:pPr>
              <w:pStyle w:val="Compact"/>
              <w:jc w:val="left"/>
            </w:pPr>
            <w:r>
              <w:t xml:space="preserve">Yes</w:t>
            </w:r>
          </w:p>
        </w:tc>
        <w:tc>
          <w:tcPr/>
          <w:p>
            <w:pPr>
              <w:pStyle w:val="Compact"/>
              <w:jc w:val="left"/>
            </w:pPr>
            <w:r>
              <w:t xml:space="preserve">Yes</w:t>
            </w:r>
          </w:p>
        </w:tc>
        <w:tc>
          <w:tcPr/>
          <w:p>
            <w:pPr>
              <w:pStyle w:val="Compact"/>
            </w:pPr>
          </w:p>
        </w:tc>
      </w:tr>
      <w:tr>
        <w:tc>
          <w:tcPr/>
          <w:p>
            <w:pPr>
              <w:pStyle w:val="Compact"/>
              <w:jc w:val="left"/>
            </w:pPr>
            <w:r>
              <w:t xml:space="preserve">Year FE</w:t>
            </w:r>
          </w:p>
        </w:tc>
        <w:tc>
          <w:tcPr/>
          <w:p>
            <w:pPr>
              <w:pStyle w:val="Compact"/>
              <w:jc w:val="left"/>
            </w:pPr>
            <w:r>
              <w:t xml:space="preserve">Yes</w:t>
            </w:r>
          </w:p>
        </w:tc>
        <w:tc>
          <w:tcPr/>
          <w:p>
            <w:pPr>
              <w:pStyle w:val="Compact"/>
              <w:jc w:val="left"/>
            </w:pPr>
            <w:r>
              <w:t xml:space="preserve">Yes</w:t>
            </w:r>
          </w:p>
        </w:tc>
        <w:tc>
          <w:tcPr/>
          <w:p>
            <w:pPr>
              <w:pStyle w:val="Compact"/>
            </w:pPr>
          </w:p>
        </w:tc>
      </w:tr>
    </w:tbl>
    <w:p>
      <w:pPr>
        <w:pStyle w:val="BodyText"/>
      </w:pPr>
      <w:r>
        <w:t xml:space="preserve">*Notes: Fractional logit (GEE) with clustered standard errors. Difference test uses pooled SE. ** p &lt; 0.01.*</w:t>
      </w:r>
    </w:p>
    <w:bookmarkEnd w:id="35"/>
    <w:bookmarkStart w:id="36" w:name="robustness-checks"/>
    <w:p>
      <w:pPr>
        <w:pStyle w:val="Heading2"/>
      </w:pPr>
      <w:r>
        <w:t xml:space="preserve">4.4 Robustness Checks</w:t>
      </w:r>
    </w:p>
    <w:p>
      <w:pPr>
        <w:pStyle w:val="FirstParagraph"/>
      </w:pPr>
      <w:r>
        <w:rPr>
          <w:bCs/>
          <w:b/>
        </w:rPr>
        <w:t xml:space="preserve">Common support:</w:t>
      </w:r>
      <w:r>
        <w:t xml:space="preserve"> </w:t>
      </w:r>
      <w:r>
        <w:t xml:space="preserve">African and international VCs have different average density levels (0.50 vs. 0.61, p &lt; 0.001). To address concerns about extrapolation, we re-estimated models restricting to the overlapping density range and trimming the top and bottom 10% of density within each group. Results are robust: the split-sample difference remains significant under common support (z = 2.92, p = 0.004) and actually strengthens when trimming extremes (z = 3.24, p = 0.001). In the trimmed sample, African VCs show a positive and significant density effect (β = +0.52, p = 0.034), suggesting that for local investors, dense networks may actively enable rather than merely not constrain high-risk investment.</w:t>
      </w:r>
    </w:p>
    <w:p>
      <w:pPr>
        <w:pStyle w:val="BodyText"/>
      </w:pPr>
      <w:r>
        <w:rPr>
          <w:bCs/>
          <w:b/>
        </w:rPr>
        <w:t xml:space="preserve">Model specification:</w:t>
      </w:r>
      <w:r>
        <w:t xml:space="preserve"> </w:t>
      </w:r>
      <w:r>
        <w:t xml:space="preserve">The current GEE specification is conservative. Weighting by number of deals actually makes the result stronger (z = 3.78, p &lt; 0.001). Split-sample results are consistent across specifications.</w:t>
      </w:r>
    </w:p>
    <w:p>
      <w:pPr>
        <w:pStyle w:val="BodyText"/>
      </w:pPr>
      <w:r>
        <w:rPr>
          <w:bCs/>
          <w:b/>
        </w:rPr>
        <w:t xml:space="preserve">Alternative DV definitions:</w:t>
      </w:r>
      <w:r>
        <w:t xml:space="preserve"> </w:t>
      </w:r>
      <w:r>
        <w:t xml:space="preserve">The heterogeneity finding is specific to our combined HRV measure (early-stage AND hard-tech). When testing early-stage share alone or hard-tech share alone as dependent variables, the differential effect is not significant. This suggests the effect operates specifically on ventures combining both risk dimensions.</w:t>
      </w:r>
    </w:p>
    <w:p>
      <w:pPr>
        <w:pStyle w:val="BodyText"/>
      </w:pPr>
      <w:r>
        <w:rPr>
          <w:bCs/>
          <w:b/>
        </w:rPr>
        <w:t xml:space="preserve">Temporal dynamics:</w:t>
      </w:r>
      <w:r>
        <w:t xml:space="preserve"> </w:t>
      </w:r>
      <w:r>
        <w:t xml:space="preserve">Effects were strongest in 2023—the year following the global</w:t>
      </w:r>
      <w:r>
        <w:t xml:space="preserve"> </w:t>
      </w:r>
      <w:r>
        <w:t xml:space="preserve">“</w:t>
      </w:r>
      <w:r>
        <w:t xml:space="preserve">funding winter.</w:t>
      </w:r>
      <w:r>
        <w:t xml:space="preserve">”</w:t>
      </w:r>
      <w:r>
        <w:t xml:space="preserve"> </w:t>
      </w:r>
      <w:r>
        <w:t xml:space="preserve">Both density (β = -0.59, p = 0.033) and diversity (β = +0.51, p = 0.017) effects were significant only in 2023, suggesting network structure mattered more during market stress.</w:t>
      </w:r>
    </w:p>
    <w:p>
      <w:pPr>
        <w:pStyle w:val="BodyText"/>
      </w:pPr>
      <w:r>
        <w:rPr>
          <w:bCs/>
          <w:b/>
        </w:rPr>
        <w:t xml:space="preserve">Table A1: Robustness of Split-Sample Results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Specification</w:t>
            </w:r>
          </w:p>
        </w:tc>
        <w:tc>
          <w:tcPr/>
          <w:p>
            <w:pPr>
              <w:pStyle w:val="Compact"/>
              <w:jc w:val="left"/>
            </w:pPr>
            <w:r>
              <w:t xml:space="preserve">N (Intl/Afr)</w:t>
            </w:r>
          </w:p>
        </w:tc>
        <w:tc>
          <w:tcPr/>
          <w:p>
            <w:pPr>
              <w:pStyle w:val="Compact"/>
              <w:jc w:val="left"/>
            </w:pPr>
            <w:r>
              <w:t xml:space="preserve">z-statistic</w:t>
            </w:r>
          </w:p>
        </w:tc>
        <w:tc>
          <w:tcPr/>
          <w:p>
            <w:pPr>
              <w:pStyle w:val="Compact"/>
              <w:jc w:val="left"/>
            </w:pPr>
            <w:r>
              <w:t xml:space="preserve">p-value</w:t>
            </w:r>
          </w:p>
        </w:tc>
      </w:tr>
      <w:tr>
        <w:tc>
          <w:tcPr/>
          <w:p>
            <w:pPr>
              <w:pStyle w:val="Compact"/>
              <w:jc w:val="left"/>
            </w:pPr>
            <w:r>
              <w:t xml:space="preserve">Original</w:t>
            </w:r>
          </w:p>
        </w:tc>
        <w:tc>
          <w:tcPr/>
          <w:p>
            <w:pPr>
              <w:pStyle w:val="Compact"/>
              <w:jc w:val="left"/>
            </w:pPr>
            <w:r>
              <w:t xml:space="preserve">606 / 295</w:t>
            </w:r>
          </w:p>
        </w:tc>
        <w:tc>
          <w:tcPr/>
          <w:p>
            <w:pPr>
              <w:pStyle w:val="Compact"/>
              <w:jc w:val="left"/>
            </w:pPr>
            <w:r>
              <w:t xml:space="preserve">2.88</w:t>
            </w:r>
          </w:p>
        </w:tc>
        <w:tc>
          <w:tcPr/>
          <w:p>
            <w:pPr>
              <w:pStyle w:val="Compact"/>
              <w:jc w:val="left"/>
            </w:pPr>
            <w:r>
              <w:t xml:space="preserve">0.004</w:t>
            </w:r>
          </w:p>
        </w:tc>
      </w:tr>
      <w:tr>
        <w:tc>
          <w:tcPr/>
          <w:p>
            <w:pPr>
              <w:pStyle w:val="Compact"/>
              <w:jc w:val="left"/>
            </w:pPr>
            <w:r>
              <w:t xml:space="preserve">Common Support</w:t>
            </w:r>
          </w:p>
        </w:tc>
        <w:tc>
          <w:tcPr/>
          <w:p>
            <w:pPr>
              <w:pStyle w:val="Compact"/>
              <w:jc w:val="left"/>
            </w:pPr>
            <w:r>
              <w:t xml:space="preserve">606 / 294</w:t>
            </w:r>
          </w:p>
        </w:tc>
        <w:tc>
          <w:tcPr/>
          <w:p>
            <w:pPr>
              <w:pStyle w:val="Compact"/>
              <w:jc w:val="left"/>
            </w:pPr>
            <w:r>
              <w:t xml:space="preserve">2.92</w:t>
            </w:r>
          </w:p>
        </w:tc>
        <w:tc>
          <w:tcPr/>
          <w:p>
            <w:pPr>
              <w:pStyle w:val="Compact"/>
              <w:jc w:val="left"/>
            </w:pPr>
            <w:r>
              <w:t xml:space="preserve">0.004</w:t>
            </w:r>
          </w:p>
        </w:tc>
      </w:tr>
      <w:tr>
        <w:tc>
          <w:tcPr/>
          <w:p>
            <w:pPr>
              <w:pStyle w:val="Compact"/>
              <w:jc w:val="left"/>
            </w:pPr>
            <w:r>
              <w:t xml:space="preserve">Trim 10%</w:t>
            </w:r>
          </w:p>
        </w:tc>
        <w:tc>
          <w:tcPr/>
          <w:p>
            <w:pPr>
              <w:pStyle w:val="Compact"/>
              <w:jc w:val="left"/>
            </w:pPr>
            <w:r>
              <w:t xml:space="preserve">541 / 264</w:t>
            </w:r>
          </w:p>
        </w:tc>
        <w:tc>
          <w:tcPr/>
          <w:p>
            <w:pPr>
              <w:pStyle w:val="Compact"/>
              <w:jc w:val="left"/>
            </w:pPr>
            <w:r>
              <w:t xml:space="preserve">3.24</w:t>
            </w:r>
          </w:p>
        </w:tc>
        <w:tc>
          <w:tcPr/>
          <w:p>
            <w:pPr>
              <w:pStyle w:val="Compact"/>
              <w:jc w:val="left"/>
            </w:pPr>
            <w:r>
              <w:t xml:space="preserve">0.001</w:t>
            </w:r>
          </w:p>
        </w:tc>
      </w:tr>
      <w:tr>
        <w:tc>
          <w:tcPr/>
          <w:p>
            <w:pPr>
              <w:pStyle w:val="Compact"/>
              <w:jc w:val="left"/>
            </w:pPr>
            <w:r>
              <w:t xml:space="preserve">Weighted by n_deals</w:t>
            </w:r>
          </w:p>
        </w:tc>
        <w:tc>
          <w:tcPr/>
          <w:p>
            <w:pPr>
              <w:pStyle w:val="Compact"/>
              <w:jc w:val="left"/>
            </w:pPr>
            <w:r>
              <w:t xml:space="preserve">606 / 295</w:t>
            </w:r>
          </w:p>
        </w:tc>
        <w:tc>
          <w:tcPr/>
          <w:p>
            <w:pPr>
              <w:pStyle w:val="Compact"/>
              <w:jc w:val="left"/>
            </w:pPr>
            <w:r>
              <w:t xml:space="preserve">3.78</w:t>
            </w:r>
          </w:p>
        </w:tc>
        <w:tc>
          <w:tcPr/>
          <w:p>
            <w:pPr>
              <w:pStyle w:val="Compact"/>
              <w:jc w:val="left"/>
            </w:pPr>
            <w:r>
              <w:t xml:space="preserve">&lt;0.001</w:t>
            </w:r>
          </w:p>
        </w:tc>
      </w:tr>
    </w:tbl>
    <w:p>
      <w:r>
        <w:pict>
          <v:rect style="width:0;height:1.5pt" o:hralign="center" o:hrstd="t" o:hr="t"/>
        </w:pict>
      </w:r>
    </w:p>
    <w:bookmarkEnd w:id="36"/>
    <w:bookmarkEnd w:id="37"/>
    <w:bookmarkStart w:id="43" w:name="discussion"/>
    <w:p>
      <w:pPr>
        <w:pStyle w:val="Heading1"/>
      </w:pPr>
      <w:r>
        <w:t xml:space="preserve">5. DISCUSSION</w:t>
      </w:r>
    </w:p>
    <w:bookmarkStart w:id="38" w:name="summary-of-findings"/>
    <w:p>
      <w:pPr>
        <w:pStyle w:val="Heading2"/>
      </w:pPr>
      <w:r>
        <w:t xml:space="preserve">5.1 Summary of Findings</w:t>
      </w:r>
    </w:p>
    <w:p>
      <w:pPr>
        <w:pStyle w:val="FirstParagraph"/>
      </w:pPr>
      <w:r>
        <w:t xml:space="preserve">We set out to understand how network structure shapes VC risk-taking in African markets. Our initial hypothesis—that network diversity would moderate the effect of density—was not supported. Instead, we discovered that headquarters location is the key moderator: network density constrains high-risk investment for international VCs but not for African VCs. This finding emerged from a transparent analytical process. Our pre-analysis plan specified the diversity interaction; when it was null, we explored alternative moderators and found strong evidence for the HQ effect. The split-sample difference (z = 2.88, p = 0.004) is our cleanest result.</w:t>
      </w:r>
    </w:p>
    <w:bookmarkEnd w:id="38"/>
    <w:bookmarkStart w:id="39" w:name="theoretical-contributions"/>
    <w:p>
      <w:pPr>
        <w:pStyle w:val="Heading2"/>
      </w:pPr>
      <w:r>
        <w:t xml:space="preserve">5.2 Theoretical Contributions</w:t>
      </w:r>
    </w:p>
    <w:p>
      <w:pPr>
        <w:pStyle w:val="FirstParagraph"/>
      </w:pPr>
      <w:r>
        <w:rPr>
          <w:bCs/>
          <w:b/>
        </w:rPr>
        <w:t xml:space="preserve">Boundary condition for network closure theory.</w:t>
      </w:r>
      <w:r>
        <w:t xml:space="preserve"> </w:t>
      </w:r>
      <w:r>
        <w:t xml:space="preserve">Our findings identify a previously unexamined boundary condition: network closure benefits depend on whether actors possess independent information. For local VCs with market knowledge, density provides trust without creating information dependence. For international VCs lacking local knowledge, density amplifies conformity pressure. This extends Gargiulo and Benassi’s (2000) work on the</w:t>
      </w:r>
      <w:r>
        <w:t xml:space="preserve"> </w:t>
      </w:r>
      <w:r>
        <w:t xml:space="preserve">“</w:t>
      </w:r>
      <w:r>
        <w:t xml:space="preserve">dark side</w:t>
      </w:r>
      <w:r>
        <w:t xml:space="preserve">”</w:t>
      </w:r>
      <w:r>
        <w:t xml:space="preserve"> </w:t>
      </w:r>
      <w:r>
        <w:t xml:space="preserve">of closure by specifying the conditions under which density becomes a liability.</w:t>
      </w:r>
    </w:p>
    <w:p>
      <w:pPr>
        <w:pStyle w:val="BodyText"/>
      </w:pPr>
      <w:r>
        <w:rPr>
          <w:bCs/>
          <w:b/>
        </w:rPr>
        <w:t xml:space="preserve">Liability of foreignness and network structure.</w:t>
      </w:r>
      <w:r>
        <w:t xml:space="preserve"> </w:t>
      </w:r>
      <w:r>
        <w:t xml:space="preserve">We contribute to international business research by showing how network structure interacts with liability of foreignness. International VCs face a compounding disadvantage: they lack local knowledge</w:t>
      </w:r>
      <w:r>
        <w:t xml:space="preserve"> </w:t>
      </w:r>
      <w:r>
        <w:rPr>
          <w:iCs/>
          <w:i/>
        </w:rPr>
        <w:t xml:space="preserve">and</w:t>
      </w:r>
      <w:r>
        <w:t xml:space="preserve"> </w:t>
      </w:r>
      <w:r>
        <w:t xml:space="preserve">are more susceptible to conformity pressure in dense networks. This suggests that network embeddedness—often seen as a remedy for foreignness—may instead amplify it when combined with information asymmetry.</w:t>
      </w:r>
    </w:p>
    <w:p>
      <w:pPr>
        <w:pStyle w:val="BodyText"/>
      </w:pPr>
      <w:r>
        <w:rPr>
          <w:bCs/>
          <w:b/>
        </w:rPr>
        <w:t xml:space="preserve">Information cascades in VC syndication.</w:t>
      </w:r>
      <w:r>
        <w:t xml:space="preserve"> </w:t>
      </w:r>
      <w:r>
        <w:t xml:space="preserve">Our findings provide field evidence consistent with information cascade theory. Dense networks create correlated signals that international VCs follow toward</w:t>
      </w:r>
      <w:r>
        <w:t xml:space="preserve"> </w:t>
      </w:r>
      <w:r>
        <w:t xml:space="preserve">“</w:t>
      </w:r>
      <w:r>
        <w:t xml:space="preserve">safe</w:t>
      </w:r>
      <w:r>
        <w:t xml:space="preserve">”</w:t>
      </w:r>
      <w:r>
        <w:t xml:space="preserve"> </w:t>
      </w:r>
      <w:r>
        <w:t xml:space="preserve">investments. The concentration of effects in 2023—during market uncertainty following the funding winter—is consistent with the theoretical prediction that cascades are more likely when private information is noisy (Bikhchandani et al., 1992).</w:t>
      </w:r>
    </w:p>
    <w:bookmarkEnd w:id="39"/>
    <w:bookmarkStart w:id="40" w:name="why-not-diversity"/>
    <w:p>
      <w:pPr>
        <w:pStyle w:val="Heading2"/>
      </w:pPr>
      <w:r>
        <w:t xml:space="preserve">5.3 Why Not Diversity?</w:t>
      </w:r>
    </w:p>
    <w:p>
      <w:pPr>
        <w:pStyle w:val="FirstParagraph"/>
      </w:pPr>
      <w:r>
        <w:t xml:space="preserve">Our null result for the density × diversity interaction deserves discussion. We had theorized that diverse networks would provide heterogeneous information counteracting herding. The data suggest otherwise: even international VCs in diverse networks show the density penalty. One interpretation is that diversity does not substitute for local knowledge. Having partners of different types or geographies does not help evaluate a specific opportunity in Lagos or Nairobi—only familiarity with those contexts does. Diversity may provide breadth without depth. Another interpretation is that the diversity effect operates differently than theorized. In our data, diversity has a positive</w:t>
      </w:r>
      <w:r>
        <w:t xml:space="preserve"> </w:t>
      </w:r>
      <w:r>
        <w:rPr>
          <w:iCs/>
          <w:i/>
        </w:rPr>
        <w:t xml:space="preserve">main</w:t>
      </w:r>
      <w:r>
        <w:t xml:space="preserve"> </w:t>
      </w:r>
      <w:r>
        <w:t xml:space="preserve">effect on HRV investment (β = 0.34, p = 0.016). Diverse networks appear to enable risk-taking unconditionally, rather than moderating the density effect.</w:t>
      </w:r>
    </w:p>
    <w:bookmarkEnd w:id="40"/>
    <w:bookmarkStart w:id="41" w:name="practical-implications"/>
    <w:p>
      <w:pPr>
        <w:pStyle w:val="Heading2"/>
      </w:pPr>
      <w:r>
        <w:t xml:space="preserve">5.4 Practical Implications</w:t>
      </w:r>
    </w:p>
    <w:p>
      <w:pPr>
        <w:pStyle w:val="FirstParagraph"/>
      </w:pPr>
      <w:r>
        <w:rPr>
          <w:bCs/>
          <w:b/>
        </w:rPr>
        <w:t xml:space="preserve">For international VCs:</w:t>
      </w:r>
      <w:r>
        <w:t xml:space="preserve"> </w:t>
      </w:r>
      <w:r>
        <w:t xml:space="preserve">Our findings suggest caution about dense syndication when entering unfamiliar markets. Co-investing with the same partners repeatedly may feel comfortable but can create echo chambers that suppress exploration of novel opportunities. International VCs might deliberately cultivate diverse partnerships and seek local co-investors who can provide independent perspective.</w:t>
      </w:r>
    </w:p>
    <w:p>
      <w:pPr>
        <w:pStyle w:val="BodyText"/>
      </w:pPr>
      <w:r>
        <w:rPr>
          <w:bCs/>
          <w:b/>
        </w:rPr>
        <w:t xml:space="preserve">For African VCs:</w:t>
      </w:r>
      <w:r>
        <w:t xml:space="preserve"> </w:t>
      </w:r>
      <w:r>
        <w:t xml:space="preserve">Local knowledge appears to be a genuine competitive advantage. African VCs can participate in dense networks without facing the herding penalty. This suggests that building local expertise—rather than simply emulating international VC practices—may be strategically valuable.</w:t>
      </w:r>
    </w:p>
    <w:p>
      <w:pPr>
        <w:pStyle w:val="BodyText"/>
      </w:pPr>
      <w:r>
        <w:rPr>
          <w:bCs/>
          <w:b/>
        </w:rPr>
        <w:t xml:space="preserve">For policymakers:</w:t>
      </w:r>
      <w:r>
        <w:t xml:space="preserve"> </w:t>
      </w:r>
      <w:r>
        <w:t xml:space="preserve">Efforts to attract international VC capital should consider network structure. Dense clusters of international investors may inadvertently reduce investment in frontier technologies. Policy interventions that pair international VCs with knowledgeable local partners could help unlock more transformative capital allocation.</w:t>
      </w:r>
    </w:p>
    <w:bookmarkEnd w:id="41"/>
    <w:bookmarkStart w:id="42" w:name="limitations"/>
    <w:p>
      <w:pPr>
        <w:pStyle w:val="Heading2"/>
      </w:pPr>
      <w:r>
        <w:t xml:space="preserve">5.5 Limitations</w:t>
      </w:r>
    </w:p>
    <w:p>
      <w:pPr>
        <w:pStyle w:val="FirstParagraph"/>
      </w:pPr>
      <w:r>
        <w:rPr>
          <w:bCs/>
          <w:b/>
        </w:rPr>
        <w:t xml:space="preserve">Causality:</w:t>
      </w:r>
      <w:r>
        <w:t xml:space="preserve"> </w:t>
      </w:r>
      <w:r>
        <w:t xml:space="preserve">Our design documents associations consistent with theorized mechanisms, not causal effects. Network density may reflect unobserved VC characteristics rather than shaping behavior.</w:t>
      </w:r>
    </w:p>
    <w:p>
      <w:pPr>
        <w:pStyle w:val="BodyText"/>
      </w:pPr>
      <w:r>
        <w:rPr>
          <w:bCs/>
          <w:b/>
        </w:rPr>
        <w:t xml:space="preserve">HRV definition specificity:</w:t>
      </w:r>
      <w:r>
        <w:t xml:space="preserve"> </w:t>
      </w:r>
      <w:r>
        <w:t xml:space="preserve">The effect holds for our combined measure (early-stage AND hard-tech) but not for component measures alone. This could indicate that our measure captures something meaningful about combined risk, or it could reflect idiosyncratic data patterns.</w:t>
      </w:r>
    </w:p>
    <w:p>
      <w:pPr>
        <w:pStyle w:val="BodyText"/>
      </w:pPr>
      <w:r>
        <w:rPr>
          <w:bCs/>
          <w:b/>
        </w:rPr>
        <w:t xml:space="preserve">Sample size:</w:t>
      </w:r>
      <w:r>
        <w:t xml:space="preserve"> </w:t>
      </w:r>
      <w:r>
        <w:t xml:space="preserve">With 295 African VC observations, we have limited power to detect effects within this subsample or to explore further heterogeneity.</w:t>
      </w:r>
    </w:p>
    <w:p>
      <w:pPr>
        <w:pStyle w:val="BodyText"/>
      </w:pPr>
      <w:r>
        <w:rPr>
          <w:bCs/>
          <w:b/>
        </w:rPr>
        <w:t xml:space="preserve">Single context:</w:t>
      </w:r>
      <w:r>
        <w:t xml:space="preserve"> </w:t>
      </w:r>
      <w:r>
        <w:t xml:space="preserve">Our findings are specific to African VC markets. Generalizability to other emerging markets or developed markets is untested. We plan a conceptual replication in GCC markets, where institutions differ and foreign investors often invest via local syndicates; this setting would provide a sharper test of whether density constrains outsiders generally, or only under high information frictions.</w:t>
      </w:r>
    </w:p>
    <w:p>
      <w:r>
        <w:pict>
          <v:rect style="width:0;height:1.5pt" o:hralign="center" o:hrstd="t" o:hr="t"/>
        </w:pict>
      </w:r>
    </w:p>
    <w:bookmarkEnd w:id="42"/>
    <w:bookmarkEnd w:id="43"/>
    <w:bookmarkStart w:id="44" w:name="conclusion"/>
    <w:p>
      <w:pPr>
        <w:pStyle w:val="Heading1"/>
      </w:pPr>
      <w:r>
        <w:t xml:space="preserve">6. CONCLUSION</w:t>
      </w:r>
    </w:p>
    <w:p>
      <w:pPr>
        <w:pStyle w:val="FirstParagraph"/>
      </w:pPr>
      <w:r>
        <w:t xml:space="preserve">We examined how co-investment network structure affects VC risk-taking in African markets. Contrary to our initial hypothesis that network diversity would moderate the effect of density, we found that headquarters location is the key boundary condition. International VCs in dense networks invest significantly less in high-risk ventures; African VCs show no such penalty.</w:t>
      </w:r>
    </w:p>
    <w:p>
      <w:pPr>
        <w:pStyle w:val="BodyText"/>
      </w:pPr>
      <w:r>
        <w:t xml:space="preserve">We interpret this as a</w:t>
      </w:r>
      <w:r>
        <w:t xml:space="preserve"> </w:t>
      </w:r>
      <w:r>
        <w:t xml:space="preserve">“</w:t>
      </w:r>
      <w:r>
        <w:t xml:space="preserve">liability of embeddedness for outsiders.</w:t>
      </w:r>
      <w:r>
        <w:t xml:space="preserve">”</w:t>
      </w:r>
      <w:r>
        <w:t xml:space="preserve"> </w:t>
      </w:r>
      <w:r>
        <w:t xml:space="preserve">Dense networks provide trust infrastructure that benefits those who already possess independent evaluation capacity—local VCs with market knowledge. For international VCs lacking local information, the same network structures create conformity pressure that suppresses exploration of novel, risky opportunities.</w:t>
      </w:r>
    </w:p>
    <w:p>
      <w:pPr>
        <w:pStyle w:val="BodyText"/>
      </w:pPr>
      <w:r>
        <w:t xml:space="preserve">These findings contribute to ongoing debates about network closure, liability of foreignness, and information cascades in financial markets. They also offer practical guidance for VCs, entrepreneurs, and policymakers navigating the growing African innovation ecosystem. As international capital flows into emerging market startups, understanding</w:t>
      </w:r>
      <w:r>
        <w:t xml:space="preserve"> </w:t>
      </w:r>
      <w:r>
        <w:rPr>
          <w:iCs/>
          <w:i/>
        </w:rPr>
        <w:t xml:space="preserve">how</w:t>
      </w:r>
      <w:r>
        <w:t xml:space="preserve"> </w:t>
      </w:r>
      <w:r>
        <w:t xml:space="preserve">that capital is networked—not just how much arrives—may be essential for unlocking its transformative potential.</w:t>
      </w:r>
    </w:p>
    <w:p>
      <w:r>
        <w:pict>
          <v:rect style="width:0;height:1.5pt" o:hralign="center" o:hrstd="t" o:hr="t"/>
        </w:pict>
      </w:r>
    </w:p>
    <w:bookmarkEnd w:id="44"/>
    <w:bookmarkStart w:id="45" w:name="references"/>
    <w:p>
      <w:pPr>
        <w:pStyle w:val="Heading1"/>
      </w:pPr>
      <w:r>
        <w:t xml:space="preserve">REFERENCES</w:t>
      </w:r>
    </w:p>
    <w:p>
      <w:pPr>
        <w:pStyle w:val="FirstParagraph"/>
      </w:pPr>
      <w:r>
        <w:t xml:space="preserve">Bikhchandani, S., Hirshleifer, D., &amp; Welch, I. (1992). A theory of fads, fashion, custom, and cultural change as informational cascades.</w:t>
      </w:r>
      <w:r>
        <w:t xml:space="preserve"> </w:t>
      </w:r>
      <w:r>
        <w:rPr>
          <w:iCs/>
          <w:i/>
        </w:rPr>
        <w:t xml:space="preserve">Journal of Political Economy</w:t>
      </w:r>
      <w:r>
        <w:t xml:space="preserve">, 100(5), 992–1026.</w:t>
      </w:r>
    </w:p>
    <w:p>
      <w:pPr>
        <w:pStyle w:val="BodyText"/>
      </w:pPr>
      <w:r>
        <w:t xml:space="preserve">Burt, R. S. (2005).</w:t>
      </w:r>
      <w:r>
        <w:t xml:space="preserve"> </w:t>
      </w:r>
      <w:r>
        <w:rPr>
          <w:iCs/>
          <w:i/>
        </w:rPr>
        <w:t xml:space="preserve">Brokerage and closure: An introduction to social capital</w:t>
      </w:r>
      <w:r>
        <w:t xml:space="preserve">. Oxford University Press.</w:t>
      </w:r>
    </w:p>
    <w:p>
      <w:pPr>
        <w:pStyle w:val="BodyText"/>
      </w:pPr>
      <w:r>
        <w:t xml:space="preserve">Coleman, J. S. (1988). Social capital in the creation of human capital.</w:t>
      </w:r>
      <w:r>
        <w:t xml:space="preserve"> </w:t>
      </w:r>
      <w:r>
        <w:rPr>
          <w:iCs/>
          <w:i/>
        </w:rPr>
        <w:t xml:space="preserve">American Journal of Sociology</w:t>
      </w:r>
      <w:r>
        <w:t xml:space="preserve">, 94, S95–S120.</w:t>
      </w:r>
    </w:p>
    <w:p>
      <w:pPr>
        <w:pStyle w:val="BodyText"/>
      </w:pPr>
      <w:r>
        <w:t xml:space="preserve">Disrupt Africa. (2024).</w:t>
      </w:r>
      <w:r>
        <w:t xml:space="preserve"> </w:t>
      </w:r>
      <w:r>
        <w:rPr>
          <w:iCs/>
          <w:i/>
        </w:rPr>
        <w:t xml:space="preserve">African Tech Startups Funding Report 2024</w:t>
      </w:r>
      <w:r>
        <w:t xml:space="preserve">.</w:t>
      </w:r>
    </w:p>
    <w:p>
      <w:pPr>
        <w:pStyle w:val="BodyText"/>
      </w:pPr>
      <w:r>
        <w:t xml:space="preserve">Gargiulo, M., &amp; Benassi, M. (2000). Trapped in your own net? Network cohesion, structural holes, and the adaptation of social capital.</w:t>
      </w:r>
      <w:r>
        <w:t xml:space="preserve"> </w:t>
      </w:r>
      <w:r>
        <w:rPr>
          <w:iCs/>
          <w:i/>
        </w:rPr>
        <w:t xml:space="preserve">Organization Science</w:t>
      </w:r>
      <w:r>
        <w:t xml:space="preserve">, 11(2), 183–196.</w:t>
      </w:r>
    </w:p>
    <w:p>
      <w:pPr>
        <w:pStyle w:val="BodyText"/>
      </w:pPr>
      <w:r>
        <w:t xml:space="preserve">Hochberg, Y. V., Ljungqvist, A., &amp; Lu, Y. (2007). Whom you know matters: Venture capital networks and investment performance.</w:t>
      </w:r>
      <w:r>
        <w:t xml:space="preserve"> </w:t>
      </w:r>
      <w:r>
        <w:rPr>
          <w:iCs/>
          <w:i/>
        </w:rPr>
        <w:t xml:space="preserve">Journal of Finance</w:t>
      </w:r>
      <w:r>
        <w:t xml:space="preserve">, 62(1), 251–301.</w:t>
      </w:r>
    </w:p>
    <w:p>
      <w:pPr>
        <w:pStyle w:val="BodyText"/>
      </w:pPr>
      <w:r>
        <w:t xml:space="preserve">Lerner, J. (1994). The syndication of venture capital investments.</w:t>
      </w:r>
      <w:r>
        <w:t xml:space="preserve"> </w:t>
      </w:r>
      <w:r>
        <w:rPr>
          <w:iCs/>
          <w:i/>
        </w:rPr>
        <w:t xml:space="preserve">Financial Management</w:t>
      </w:r>
      <w:r>
        <w:t xml:space="preserve">, 23(3), 16–27.</w:t>
      </w:r>
    </w:p>
    <w:p>
      <w:pPr>
        <w:pStyle w:val="BodyText"/>
      </w:pPr>
      <w:r>
        <w:t xml:space="preserve">Papke, L. E., &amp; Wooldridge, J. M. (1996). Econometric methods for fractional response variables.</w:t>
      </w:r>
      <w:r>
        <w:t xml:space="preserve"> </w:t>
      </w:r>
      <w:r>
        <w:rPr>
          <w:iCs/>
          <w:i/>
        </w:rPr>
        <w:t xml:space="preserve">Journal of Applied Econometrics</w:t>
      </w:r>
      <w:r>
        <w:t xml:space="preserve">, 11(6), 619–632.</w:t>
      </w:r>
    </w:p>
    <w:p>
      <w:pPr>
        <w:pStyle w:val="BodyText"/>
      </w:pPr>
      <w:r>
        <w:t xml:space="preserve">Partech. (2024).</w:t>
      </w:r>
      <w:r>
        <w:t xml:space="preserve"> </w:t>
      </w:r>
      <w:r>
        <w:rPr>
          <w:iCs/>
          <w:i/>
        </w:rPr>
        <w:t xml:space="preserve">2024 Africa Tech Venture Capital Report</w:t>
      </w:r>
      <w:r>
        <w:t xml:space="preserve">.</w:t>
      </w:r>
    </w:p>
    <w:p>
      <w:pPr>
        <w:pStyle w:val="BodyText"/>
      </w:pPr>
      <w:r>
        <w:t xml:space="preserve">Reagans, R., &amp; McEvily, B. (2003). Network structure and knowledge transfer.</w:t>
      </w:r>
      <w:r>
        <w:t xml:space="preserve"> </w:t>
      </w:r>
      <w:r>
        <w:rPr>
          <w:iCs/>
          <w:i/>
        </w:rPr>
        <w:t xml:space="preserve">Administrative Science Quarterly</w:t>
      </w:r>
      <w:r>
        <w:t xml:space="preserve">, 48(2), 240–267.</w:t>
      </w:r>
    </w:p>
    <w:p>
      <w:pPr>
        <w:pStyle w:val="BodyText"/>
      </w:pPr>
      <w:r>
        <w:t xml:space="preserve">Scharfstein, D. S., &amp; Stein, J. C. (1990). Herd behavior and investment.</w:t>
      </w:r>
      <w:r>
        <w:t xml:space="preserve"> </w:t>
      </w:r>
      <w:r>
        <w:rPr>
          <w:iCs/>
          <w:i/>
        </w:rPr>
        <w:t xml:space="preserve">American Economic Review</w:t>
      </w:r>
      <w:r>
        <w:t xml:space="preserve">, 80(3), 465–479.</w:t>
      </w:r>
    </w:p>
    <w:p>
      <w:pPr>
        <w:pStyle w:val="BodyText"/>
      </w:pPr>
      <w:r>
        <w:t xml:space="preserve">Wasserman, S., &amp; Faust, K. (1994).</w:t>
      </w:r>
      <w:r>
        <w:t xml:space="preserve"> </w:t>
      </w:r>
      <w:r>
        <w:rPr>
          <w:iCs/>
          <w:i/>
        </w:rPr>
        <w:t xml:space="preserve">Social network analysis: Methods and applications</w:t>
      </w:r>
      <w:r>
        <w:t xml:space="preserve">. Cambridge University Press.</w:t>
      </w:r>
    </w:p>
    <w:p>
      <w:pPr>
        <w:pStyle w:val="BodyText"/>
      </w:pPr>
      <w:r>
        <w:t xml:space="preserve">Zaheer, S. (1995). Overcoming the liability of foreignness.</w:t>
      </w:r>
      <w:r>
        <w:t xml:space="preserve"> </w:t>
      </w:r>
      <w:r>
        <w:rPr>
          <w:iCs/>
          <w:i/>
        </w:rPr>
        <w:t xml:space="preserve">Academy of Management Journal</w:t>
      </w:r>
      <w:r>
        <w:t xml:space="preserve">, 38(2), 341–363.</w:t>
      </w:r>
    </w:p>
    <w:p>
      <w:r>
        <w:pict>
          <v:rect style="width:0;height:1.5pt" o:hralign="center" o:hrstd="t" o:hr="t"/>
        </w:pict>
      </w:r>
    </w:p>
    <w:bookmarkEnd w:id="45"/>
    <w:bookmarkStart w:id="47" w:name="appendix"/>
    <w:p>
      <w:pPr>
        <w:pStyle w:val="Heading1"/>
      </w:pPr>
      <w:r>
        <w:t xml:space="preserve">APPENDIX</w:t>
      </w:r>
    </w:p>
    <w:bookmarkStart w:id="46" w:name="a0.-network-construction-verification"/>
    <w:p>
      <w:pPr>
        <w:pStyle w:val="Heading2"/>
      </w:pPr>
      <w:r>
        <w:t xml:space="preserve">A0. Network Construction Verification</w:t>
      </w:r>
    </w:p>
    <w:p>
      <w:pPr>
        <w:pStyle w:val="FirstParagraph"/>
      </w:pPr>
      <w:r>
        <w:t xml:space="preserve">We verified that our global graph approach correctly captures partner-to-partner ties formed outside focal VCs’ own deals:</w:t>
      </w:r>
    </w:p>
    <w:p>
      <w:pPr>
        <w:numPr>
          <w:ilvl w:val="0"/>
          <w:numId w:val="1002"/>
        </w:numPr>
        <w:pStyle w:val="Compact"/>
      </w:pPr>
      <w:r>
        <w:t xml:space="preserve">86% of VCs have at least one partner-partner tie from the global graph that would be missed by counting only within-syndicate ties</w:t>
      </w:r>
    </w:p>
    <w:p>
      <w:pPr>
        <w:numPr>
          <w:ilvl w:val="0"/>
          <w:numId w:val="1002"/>
        </w:numPr>
        <w:pStyle w:val="Compact"/>
      </w:pPr>
      <w:r>
        <w:t xml:space="preserve">Mean additional edges per VC: 40</w:t>
      </w:r>
    </w:p>
    <w:p>
      <w:pPr>
        <w:numPr>
          <w:ilvl w:val="0"/>
          <w:numId w:val="1002"/>
        </w:numPr>
        <w:pStyle w:val="Compact"/>
      </w:pPr>
      <w:r>
        <w:t xml:space="preserve">Maximum additional edges: 366</w:t>
      </w:r>
    </w:p>
    <w:p>
      <w:pPr>
        <w:pStyle w:val="FirstParagraph"/>
      </w:pPr>
      <w:r>
        <w:t xml:space="preserve">Manual computation of density for 50 randomly selected VC-years matched stored values exactly, confirming pipeline accuracy. This validates the importance of the global graph approach for accurate density measurement.</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Liability of Embeddedness for Outsiders: Network Density and High-Risk Venture Investment in African Markets</dc:title>
  <dc:creator>Julian Waters-Lynch and Ashenafi Biru</dc:creator>
  <cp:keywords/>
  <dcterms:created xsi:type="dcterms:W3CDTF">2026-01-02T02:51:20Z</dcterms:created>
  <dcterms:modified xsi:type="dcterms:W3CDTF">2026-01-02T02:51:20Z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Target: Academy of International Business – Africa Conference 2026</vt:lpwstr>
  </property>
</Properties>
</file>