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cd7v9qll4g9l" w:id="0"/>
      <w:bookmarkEnd w:id="0"/>
      <w:r w:rsidDel="00000000" w:rsidR="00000000" w:rsidRPr="00000000">
        <w:rPr>
          <w:rtl w:val="0"/>
        </w:rPr>
        <w:t xml:space="preserve">Common Objects 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primary goals of the common objects framework is to shorten design time of routine tasks and ensure a common user experience across multiple applications.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fkazb0sl6fmr" w:id="1"/>
      <w:bookmarkEnd w:id="1"/>
      <w:r w:rsidDel="00000000" w:rsidR="00000000" w:rsidRPr="00000000">
        <w:rPr>
          <w:rtl w:val="0"/>
        </w:rPr>
        <w:t xml:space="preserve">Utility 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suite of utility rules was created to help designers with things that need to be done multiple times on a given application. The items listed below each category does not cover all functionality available.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Applying over common logic: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Comparing CDTs by a specific field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Replacing a null value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Mathematical operators (e.g., addition, subtraction)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Formatting common values: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validations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Generic text length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Generic integer value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URL format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constants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 labels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Small, medium, and large batch sizes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Helper rules for complex components: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 pickers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Multi-file upload field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Null safe versions of Appian OOTB functions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round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dollar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Maps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urft5c5onc95" w:id="2"/>
      <w:bookmarkEnd w:id="2"/>
      <w:r w:rsidDel="00000000" w:rsidR="00000000" w:rsidRPr="00000000">
        <w:rPr>
          <w:rtl w:val="0"/>
        </w:rPr>
        <w:t xml:space="preserve">Display 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suite of display rules was created to help designers ensure a consistent user experience across multiple applications.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Consistent Display of Inputs</w:t>
      </w:r>
      <w:r w:rsidDel="00000000" w:rsidR="00000000" w:rsidRPr="00000000">
        <w:rPr>
          <w:rtl w:val="0"/>
        </w:rPr>
        <w:t xml:space="preserve"> - Consistently display things like label position and the required asterisk based on if something is read-only or not. Additionally, things like dropdowns will display as read-only text fields instead of having to show them disabled.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5943600" cy="46990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when ri!readOnly = true changes to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drawing>
          <wp:inline distB="114300" distT="114300" distL="114300" distR="114300">
            <wp:extent cx="1704975" cy="3810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Breadcrumbs</w:t>
      </w:r>
      <w:r w:rsidDel="00000000" w:rsidR="00000000" w:rsidRPr="00000000">
        <w:rPr>
          <w:rtl w:val="0"/>
        </w:rPr>
        <w:t xml:space="preserve"> - Allow users to create breadcrumbs with consistent formatting. Formatting aligns with Appian’s breadcrumbs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2371725" cy="24765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Actionable Links</w:t>
      </w:r>
      <w:r w:rsidDel="00000000" w:rsidR="00000000" w:rsidRPr="00000000">
        <w:rPr>
          <w:rtl w:val="0"/>
        </w:rPr>
        <w:t xml:space="preserve"> - A set of various links of common actions an end-user would want to take when selecting data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1295400" cy="27622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1276350" cy="2095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1323975" cy="2190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contextualSpacing w:val="1"/>
        <w:rPr>
          <w:sz w:val="22"/>
          <w:szCs w:val="22"/>
          <w:u w:val="none"/>
        </w:rPr>
      </w:pPr>
      <w:bookmarkStart w:colFirst="0" w:colLast="0" w:name="_1mtm3bu65298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Formatting Links</w:t>
      </w:r>
      <w:r w:rsidDel="00000000" w:rsidR="00000000" w:rsidRPr="00000000">
        <w:rPr>
          <w:sz w:val="22"/>
          <w:szCs w:val="22"/>
          <w:rtl w:val="0"/>
        </w:rPr>
        <w:t xml:space="preserve"> - Links can do almost anything in Appian so using a symbol to signify what the link will do helps users make decisions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Link when clicking will change something on the current page (i.e., not navigate away from it) </w:t>
      </w:r>
      <w:r w:rsidDel="00000000" w:rsidR="00000000" w:rsidRPr="00000000">
        <w:drawing>
          <wp:inline distB="114300" distT="114300" distL="114300" distR="114300">
            <wp:extent cx="828675" cy="2286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Link when clicking it will open something in a new tab - </w:t>
      </w:r>
      <w:r w:rsidDel="00000000" w:rsidR="00000000" w:rsidRPr="00000000">
        <w:drawing>
          <wp:inline distB="114300" distT="114300" distL="114300" distR="114300">
            <wp:extent cx="914400" cy="2286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Link when clicking it will change the current page</w:t>
      </w:r>
      <w:r w:rsidDel="00000000" w:rsidR="00000000" w:rsidRPr="00000000">
        <w:drawing>
          <wp:inline distB="114300" distT="114300" distL="114300" distR="114300">
            <wp:extent cx="981075" cy="200025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contextualSpacing w:val="1"/>
        <w:rPr>
          <w:sz w:val="22"/>
          <w:szCs w:val="22"/>
          <w:u w:val="none"/>
        </w:rPr>
      </w:pPr>
      <w:bookmarkStart w:colFirst="0" w:colLast="0" w:name="_l0hc2cw4lcmn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Data Entry of Ranges</w:t>
      </w:r>
      <w:r w:rsidDel="00000000" w:rsidR="00000000" w:rsidRPr="00000000">
        <w:rPr>
          <w:sz w:val="22"/>
          <w:szCs w:val="22"/>
          <w:rtl w:val="0"/>
        </w:rPr>
        <w:t xml:space="preserve"> - Users often enter ranges of data (e.g., a date range) especially when entering dates</w:t>
      </w: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943600" cy="4699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5943600" cy="4826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contextualSpacing w:val="1"/>
        <w:rPr>
          <w:sz w:val="22"/>
          <w:szCs w:val="22"/>
          <w:u w:val="none"/>
        </w:rPr>
      </w:pPr>
      <w:bookmarkStart w:colFirst="0" w:colLast="0" w:name="_zem5rugewf97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Collet Common Data</w:t>
      </w:r>
      <w:r w:rsidDel="00000000" w:rsidR="00000000" w:rsidRPr="00000000">
        <w:rPr>
          <w:sz w:val="22"/>
          <w:szCs w:val="22"/>
          <w:rtl w:val="0"/>
        </w:rPr>
        <w:t xml:space="preserve"> - Components that will collect and validate common data points like SSN and phone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1238250" cy="5715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once the user navigates away it will change to (if any invalid characters were present it would also strip those)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1152525" cy="571500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Tab Creation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Displaying multiple forms via a set of links acting as tabs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4953000" cy="2286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2.png"/><Relationship Id="rId10" Type="http://schemas.openxmlformats.org/officeDocument/2006/relationships/image" Target="media/image12.png"/><Relationship Id="rId13" Type="http://schemas.openxmlformats.org/officeDocument/2006/relationships/image" Target="media/image26.png"/><Relationship Id="rId12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03.png"/><Relationship Id="rId17" Type="http://schemas.openxmlformats.org/officeDocument/2006/relationships/image" Target="media/image27.png"/><Relationship Id="rId16" Type="http://schemas.openxmlformats.org/officeDocument/2006/relationships/image" Target="media/image09.png"/><Relationship Id="rId5" Type="http://schemas.openxmlformats.org/officeDocument/2006/relationships/image" Target="media/image23.png"/><Relationship Id="rId6" Type="http://schemas.openxmlformats.org/officeDocument/2006/relationships/image" Target="media/image05.png"/><Relationship Id="rId18" Type="http://schemas.openxmlformats.org/officeDocument/2006/relationships/image" Target="media/image22.png"/><Relationship Id="rId7" Type="http://schemas.openxmlformats.org/officeDocument/2006/relationships/image" Target="media/image21.png"/><Relationship Id="rId8" Type="http://schemas.openxmlformats.org/officeDocument/2006/relationships/image" Target="media/image17.png"/></Relationships>
</file>