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6F7A"/>
          <w:sz w:val="36"/>
        </w:rPr>
        <w:t>CRLN-TRG-001 and the JTF Core Competency Framework</w:t>
      </w:r>
    </w:p>
    <w:p>
      <w:pPr>
        <w:spacing w:after="240"/>
      </w:pPr>
      <w:r>
        <w:rPr>
          <w:color w:val="555555"/>
          <w:sz w:val="26"/>
        </w:rPr>
        <w:t>A domain crosswalk</w:t>
      </w:r>
    </w:p>
    <w:tbl>
      <w:tblPr>
        <w:tblStyle w:val="TableGrid"/>
        <w:tblW w:type="auto" w:w="0"/>
        <w:tblLook w:firstColumn="1" w:firstRow="1" w:lastColumn="0" w:lastRow="0" w:noHBand="0" w:noVBand="1" w:val="04A0"/>
      </w:tblPr>
      <w:tblGrid>
        <w:gridCol w:w="9648"/>
      </w:tblGrid>
      <w:tr>
        <w:tc>
          <w:tcPr>
            <w:tcW w:type="dxa" w:w="9648"/>
            <w:shd w:val="clear" w:fill="F2F7F8"/>
          </w:tcPr>
          <w:p>
            <w:pPr>
              <w:spacing w:after="80"/>
            </w:pPr>
            <w:r>
              <w:rPr>
                <w:b/>
                <w:sz w:val="21"/>
              </w:rPr>
              <w:t>Status: reviewed at the canonical-domain level, 21 September 2026. Description of the review corrected 28 September 2026.</w:t>
            </w:r>
          </w:p>
          <w:p>
            <w:pPr>
              <w:spacing w:after="80"/>
            </w:pPr>
            <w:r>
              <w:rPr>
                <w:sz w:val="20"/>
              </w:rPr>
              <w:t>All ten canonical domain mappings were reviewed by a practicing site director, who spent about two minutes on each and recorded a written rationale for every one, and confirmed by two further reviewers, who recorded agreement at about 7 and 12 seconds per mapping without a rationale. An earlier version of this document said three independent reviewers rated all ten and agreed on all ten. That was accurate as a count and misleading as a description of the review. No mapping has changed. Reviewers are named with their written consent in the published governance record.</w:t>
            </w:r>
          </w:p>
          <w:p>
            <w:pPr>
              <w:spacing w:after="40"/>
            </w:pPr>
            <w:r>
              <w:rPr>
                <w:b/>
                <w:sz w:val="20"/>
              </w:rPr>
              <w:t>This is the only CRLN crosswalk that carries review. The TDR, ICH E6(R3) Annex 2 and EU Regulation 536/2014 crosswalks published alongside it are provisional and unreviewed.</w:t>
            </w:r>
          </w:p>
        </w:tc>
      </w:tr>
    </w:tbl>
    <w:p>
      <w:pPr>
        <w:spacing w:after="0"/>
      </w:pPr>
    </w:p>
    <w:p>
      <w:pPr>
        <w:spacing w:after="280"/>
      </w:pPr>
      <w:r>
        <w:rPr>
          <w:b w:val="0"/>
          <w:color w:val="555555"/>
          <w:sz w:val="18"/>
        </w:rPr>
        <w:t>CRLN-TRG-001 version 1.7.2   ·   published 22 September 2026   ·   identifier CRLN-TRG-001-X-JTF</w:t>
      </w:r>
    </w:p>
    <w:p>
      <w:pPr>
        <w:pStyle w:val="Heading1"/>
      </w:pPr>
      <w:r>
        <w:rPr>
          <w:rFonts w:ascii="Calibri" w:hAnsi="Calibri"/>
          <w:color w:val="1F6F7A"/>
        </w:rPr>
        <w:t>Why this document exists</w:t>
      </w:r>
    </w:p>
    <w:p>
      <w:pPr>
        <w:spacing w:after="160"/>
      </w:pPr>
      <w:r>
        <w:rPr>
          <w:b w:val="0"/>
          <w:sz w:val="21"/>
        </w:rPr>
        <w:t>The mapping below has existed in CRLN’s review register since the review was completed, and every release since has described it in prose. It was never published as a table that anyone could check.</w:t>
      </w:r>
    </w:p>
    <w:p>
      <w:pPr>
        <w:spacing w:after="160"/>
      </w:pPr>
      <w:r>
        <w:rPr>
          <w:b w:val="0"/>
          <w:sz w:val="21"/>
        </w:rPr>
        <w:t>A framework that states it is crosswalked domain by domain, without showing the domains, is asking to be taken on trust. This document removes that.</w:t>
      </w:r>
    </w:p>
    <w:p>
      <w:pPr>
        <w:spacing w:after="160"/>
      </w:pPr>
      <w:r>
        <w:rPr>
          <w:b w:val="0"/>
          <w:color w:val="555555"/>
          <w:sz w:val="19"/>
        </w:rPr>
        <w:t>Source for the JTF domain list: mrctcenter.org/clinical-trial-competency/framework/domains/</w:t>
      </w:r>
    </w:p>
    <w:p>
      <w:pPr>
        <w:pStyle w:val="Heading1"/>
      </w:pPr>
      <w:r>
        <w:rPr>
          <w:rFonts w:ascii="Calibri" w:hAnsi="Calibri"/>
          <w:color w:val="1F6F7A"/>
        </w:rPr>
        <w:t>The mapping</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3024"/>
            <w:shd w:val="clear" w:fill="1F6F7A"/>
          </w:tcPr>
          <w:p>
            <w:r>
              <w:rPr>
                <w:b/>
                <w:color w:val="FFFFFF"/>
                <w:sz w:val="19"/>
              </w:rPr>
              <w:t>CRLN canonical domain</w:t>
            </w:r>
          </w:p>
        </w:tc>
        <w:tc>
          <w:tcPr>
            <w:tcW w:type="dxa" w:w="3168"/>
            <w:shd w:val="clear" w:fill="1F6F7A"/>
          </w:tcPr>
          <w:p>
            <w:r>
              <w:rPr>
                <w:b/>
                <w:color w:val="FFFFFF"/>
                <w:sz w:val="19"/>
              </w:rPr>
              <w:t>JTF domain</w:t>
            </w:r>
          </w:p>
        </w:tc>
        <w:tc>
          <w:tcPr>
            <w:tcW w:type="dxa" w:w="3456"/>
            <w:shd w:val="clear" w:fill="1F6F7A"/>
          </w:tcPr>
          <w:p>
            <w:r>
              <w:rPr>
                <w:b/>
                <w:color w:val="FFFFFF"/>
                <w:sz w:val="19"/>
              </w:rPr>
              <w:t>ICH E6(R3) anchor</w:t>
            </w:r>
          </w:p>
        </w:tc>
      </w:tr>
      <w:tr>
        <w:tc>
          <w:tcPr>
            <w:tcW w:type="dxa" w:w="3024"/>
          </w:tcPr>
          <w:p>
            <w:r>
              <w:rPr>
                <w:b/>
                <w:sz w:val="19"/>
              </w:rPr>
              <w:t xml:space="preserve">D-01  </w:t>
            </w:r>
            <w:r>
              <w:rPr>
                <w:sz w:val="19"/>
              </w:rPr>
              <w:t>GCP Principles &amp; Ethics</w:t>
            </w:r>
          </w:p>
        </w:tc>
        <w:tc>
          <w:tcPr>
            <w:tcW w:type="dxa" w:w="3168"/>
          </w:tcPr>
          <w:p>
            <w:r>
              <w:rPr>
                <w:sz w:val="19"/>
              </w:rPr>
              <w:t>4. Clinical Study Operations (Good Clinical Practices)</w:t>
            </w:r>
          </w:p>
        </w:tc>
        <w:tc>
          <w:tcPr>
            <w:tcW w:type="dxa" w:w="3456"/>
          </w:tcPr>
          <w:p>
            <w:r>
              <w:rPr>
                <w:sz w:val="19"/>
              </w:rPr>
              <w:t>ICH E6(R3) Principles of ICH GCP</w:t>
            </w:r>
          </w:p>
        </w:tc>
      </w:tr>
      <w:tr>
        <w:tc>
          <w:tcPr>
            <w:tcW w:type="dxa" w:w="3024"/>
          </w:tcPr>
          <w:p>
            <w:r>
              <w:rPr>
                <w:b/>
                <w:sz w:val="19"/>
              </w:rPr>
              <w:t xml:space="preserve">D-02  </w:t>
            </w:r>
            <w:r>
              <w:rPr>
                <w:sz w:val="19"/>
              </w:rPr>
              <w:t>Informed Consent Processes</w:t>
            </w:r>
          </w:p>
        </w:tc>
        <w:tc>
          <w:tcPr>
            <w:tcW w:type="dxa" w:w="3168"/>
          </w:tcPr>
          <w:p>
            <w:r>
              <w:rPr>
                <w:sz w:val="19"/>
              </w:rPr>
              <w:t>2. Ethical and Participant Safety Considerations</w:t>
            </w:r>
          </w:p>
        </w:tc>
        <w:tc>
          <w:tcPr>
            <w:tcW w:type="dxa" w:w="3456"/>
          </w:tcPr>
          <w:p>
            <w:r>
              <w:rPr>
                <w:sz w:val="19"/>
              </w:rPr>
              <w:t>ICH E6(R3) informed consent of trial participants</w:t>
            </w:r>
          </w:p>
        </w:tc>
      </w:tr>
      <w:tr>
        <w:tc>
          <w:tcPr>
            <w:tcW w:type="dxa" w:w="3024"/>
          </w:tcPr>
          <w:p>
            <w:r>
              <w:rPr>
                <w:b/>
                <w:sz w:val="19"/>
              </w:rPr>
              <w:t xml:space="preserve">D-03  </w:t>
            </w:r>
            <w:r>
              <w:rPr>
                <w:sz w:val="19"/>
              </w:rPr>
              <w:t>Protocol Adherence &amp; Deviations</w:t>
            </w:r>
          </w:p>
        </w:tc>
        <w:tc>
          <w:tcPr>
            <w:tcW w:type="dxa" w:w="3168"/>
          </w:tcPr>
          <w:p>
            <w:r>
              <w:rPr>
                <w:sz w:val="19"/>
              </w:rPr>
              <w:t>4. Clinical Study Operations (Good Clinical Practices)</w:t>
            </w:r>
          </w:p>
        </w:tc>
        <w:tc>
          <w:tcPr>
            <w:tcW w:type="dxa" w:w="3456"/>
          </w:tcPr>
          <w:p>
            <w:r>
              <w:rPr>
                <w:sz w:val="19"/>
              </w:rPr>
              <w:t>ICH E6(R3) investigator compliance with protocol</w:t>
            </w:r>
          </w:p>
        </w:tc>
      </w:tr>
      <w:tr>
        <w:tc>
          <w:tcPr>
            <w:tcW w:type="dxa" w:w="3024"/>
          </w:tcPr>
          <w:p>
            <w:r>
              <w:rPr>
                <w:b/>
                <w:sz w:val="19"/>
              </w:rPr>
              <w:t xml:space="preserve">D-04  </w:t>
            </w:r>
            <w:r>
              <w:rPr>
                <w:sz w:val="19"/>
              </w:rPr>
              <w:t>Adverse Event &amp; Safety Reporting</w:t>
            </w:r>
          </w:p>
        </w:tc>
        <w:tc>
          <w:tcPr>
            <w:tcW w:type="dxa" w:w="3168"/>
          </w:tcPr>
          <w:p>
            <w:r>
              <w:rPr>
                <w:sz w:val="19"/>
              </w:rPr>
              <w:t>2. Ethical and Participant Safety Considerations</w:t>
            </w:r>
          </w:p>
        </w:tc>
        <w:tc>
          <w:tcPr>
            <w:tcW w:type="dxa" w:w="3456"/>
          </w:tcPr>
          <w:p>
            <w:r>
              <w:rPr>
                <w:sz w:val="19"/>
              </w:rPr>
              <w:t>ICH E6(R3) safety reporting (investigator &amp; sponsor)</w:t>
            </w:r>
          </w:p>
        </w:tc>
      </w:tr>
      <w:tr>
        <w:tc>
          <w:tcPr>
            <w:tcW w:type="dxa" w:w="3024"/>
          </w:tcPr>
          <w:p>
            <w:r>
              <w:rPr>
                <w:b/>
                <w:sz w:val="19"/>
              </w:rPr>
              <w:t xml:space="preserve">D-05  </w:t>
            </w:r>
            <w:r>
              <w:rPr>
                <w:sz w:val="19"/>
              </w:rPr>
              <w:t>Investigational Product Management</w:t>
            </w:r>
          </w:p>
        </w:tc>
        <w:tc>
          <w:tcPr>
            <w:tcW w:type="dxa" w:w="3168"/>
          </w:tcPr>
          <w:p>
            <w:r>
              <w:rPr>
                <w:sz w:val="19"/>
              </w:rPr>
              <w:t>3. Investigational Products Development and Regulation</w:t>
            </w:r>
          </w:p>
        </w:tc>
        <w:tc>
          <w:tcPr>
            <w:tcW w:type="dxa" w:w="3456"/>
          </w:tcPr>
          <w:p>
            <w:r>
              <w:rPr>
                <w:sz w:val="19"/>
              </w:rPr>
              <w:t>ICH E6(R3) investigational product management &amp; accountability</w:t>
            </w:r>
          </w:p>
        </w:tc>
      </w:tr>
      <w:tr>
        <w:tc>
          <w:tcPr>
            <w:tcW w:type="dxa" w:w="3024"/>
          </w:tcPr>
          <w:p>
            <w:r>
              <w:rPr>
                <w:b/>
                <w:sz w:val="19"/>
              </w:rPr>
              <w:t xml:space="preserve">D-06  </w:t>
            </w:r>
            <w:r>
              <w:rPr>
                <w:sz w:val="19"/>
              </w:rPr>
              <w:t>Data Integrity &amp; Source Documentation</w:t>
            </w:r>
          </w:p>
        </w:tc>
        <w:tc>
          <w:tcPr>
            <w:tcW w:type="dxa" w:w="3168"/>
          </w:tcPr>
          <w:p>
            <w:r>
              <w:rPr>
                <w:sz w:val="19"/>
              </w:rPr>
              <w:t>6. Data Management and Informatics</w:t>
            </w:r>
          </w:p>
        </w:tc>
        <w:tc>
          <w:tcPr>
            <w:tcW w:type="dxa" w:w="3456"/>
          </w:tcPr>
          <w:p>
            <w:r>
              <w:rPr>
                <w:sz w:val="19"/>
              </w:rPr>
              <w:t>ICH E6(R3) records, source data &amp; ALCOA+ / data governance</w:t>
            </w:r>
          </w:p>
        </w:tc>
      </w:tr>
      <w:tr>
        <w:tc>
          <w:tcPr>
            <w:tcW w:type="dxa" w:w="3024"/>
          </w:tcPr>
          <w:p>
            <w:r>
              <w:rPr>
                <w:b/>
                <w:sz w:val="19"/>
              </w:rPr>
              <w:t xml:space="preserve">D-07  </w:t>
            </w:r>
            <w:r>
              <w:rPr>
                <w:sz w:val="19"/>
              </w:rPr>
              <w:t>IRB / IEC Submissions</w:t>
            </w:r>
          </w:p>
        </w:tc>
        <w:tc>
          <w:tcPr>
            <w:tcW w:type="dxa" w:w="3168"/>
          </w:tcPr>
          <w:p>
            <w:r>
              <w:rPr>
                <w:sz w:val="19"/>
              </w:rPr>
              <w:t>2. Ethical and Participant Safety Considerations</w:t>
            </w:r>
          </w:p>
        </w:tc>
        <w:tc>
          <w:tcPr>
            <w:tcW w:type="dxa" w:w="3456"/>
          </w:tcPr>
          <w:p>
            <w:r>
              <w:rPr>
                <w:sz w:val="19"/>
              </w:rPr>
              <w:t>ICH E6(R3) IRB/IEC responsibilities &amp; submissions</w:t>
            </w:r>
          </w:p>
        </w:tc>
      </w:tr>
      <w:tr>
        <w:tc>
          <w:tcPr>
            <w:tcW w:type="dxa" w:w="3024"/>
          </w:tcPr>
          <w:p>
            <w:r>
              <w:rPr>
                <w:b/>
                <w:sz w:val="19"/>
              </w:rPr>
              <w:t xml:space="preserve">D-08  </w:t>
            </w:r>
            <w:r>
              <w:rPr>
                <w:sz w:val="19"/>
              </w:rPr>
              <w:t>Trial Master File &amp; Regulatory Documentation</w:t>
            </w:r>
          </w:p>
        </w:tc>
        <w:tc>
          <w:tcPr>
            <w:tcW w:type="dxa" w:w="3168"/>
          </w:tcPr>
          <w:p>
            <w:r>
              <w:rPr>
                <w:sz w:val="19"/>
              </w:rPr>
              <w:t>4. Clinical Study Operations (Good Clinical Practices)</w:t>
            </w:r>
          </w:p>
        </w:tc>
        <w:tc>
          <w:tcPr>
            <w:tcW w:type="dxa" w:w="3456"/>
          </w:tcPr>
          <w:p>
            <w:r>
              <w:rPr>
                <w:sz w:val="19"/>
              </w:rPr>
              <w:t>ICH E6(R3) essential records for the conduct of a clinical trial (TMF)</w:t>
            </w:r>
          </w:p>
        </w:tc>
      </w:tr>
      <w:tr>
        <w:tc>
          <w:tcPr>
            <w:tcW w:type="dxa" w:w="3024"/>
          </w:tcPr>
          <w:p>
            <w:r>
              <w:rPr>
                <w:b/>
                <w:sz w:val="19"/>
              </w:rPr>
              <w:t xml:space="preserve">D-09  </w:t>
            </w:r>
            <w:r>
              <w:rPr>
                <w:sz w:val="19"/>
              </w:rPr>
              <w:t>Site Oversight &amp; Monitoring</w:t>
            </w:r>
          </w:p>
        </w:tc>
        <w:tc>
          <w:tcPr>
            <w:tcW w:type="dxa" w:w="3168"/>
          </w:tcPr>
          <w:p>
            <w:r>
              <w:rPr>
                <w:sz w:val="19"/>
              </w:rPr>
              <w:t>5. Study and Site Management</w:t>
            </w:r>
          </w:p>
        </w:tc>
        <w:tc>
          <w:tcPr>
            <w:tcW w:type="dxa" w:w="3456"/>
          </w:tcPr>
          <w:p>
            <w:r>
              <w:rPr>
                <w:sz w:val="19"/>
              </w:rPr>
              <w:t>ICH E6(R3) monitoring &amp; risk-based quality management</w:t>
            </w:r>
          </w:p>
        </w:tc>
      </w:tr>
      <w:tr>
        <w:tc>
          <w:tcPr>
            <w:tcW w:type="dxa" w:w="3024"/>
          </w:tcPr>
          <w:p>
            <w:r>
              <w:rPr>
                <w:b/>
                <w:sz w:val="19"/>
              </w:rPr>
              <w:t xml:space="preserve">D-10  </w:t>
            </w:r>
            <w:r>
              <w:rPr>
                <w:sz w:val="19"/>
              </w:rPr>
              <w:t>Pharmacovigilance &amp; Regulatory Submissions</w:t>
            </w:r>
          </w:p>
        </w:tc>
        <w:tc>
          <w:tcPr>
            <w:tcW w:type="dxa" w:w="3168"/>
          </w:tcPr>
          <w:p>
            <w:r>
              <w:rPr>
                <w:sz w:val="19"/>
              </w:rPr>
              <w:t>3. Investigational Products Development and Regulation</w:t>
            </w:r>
          </w:p>
        </w:tc>
        <w:tc>
          <w:tcPr>
            <w:tcW w:type="dxa" w:w="3456"/>
          </w:tcPr>
          <w:p>
            <w:r>
              <w:rPr>
                <w:sz w:val="19"/>
              </w:rPr>
              <w:t>ICH E6(R3) sponsor safety &amp; regulatory reporting</w:t>
            </w:r>
          </w:p>
        </w:tc>
      </w:tr>
    </w:tbl>
    <w:p>
      <w:pPr>
        <w:spacing w:after="160"/>
      </w:pPr>
      <w:r>
        <w:rPr>
          <w:b w:val="0"/>
          <w:color w:val="555555"/>
          <w:sz w:val="19"/>
        </w:rPr>
        <w:t>All ten rows are recorded as validated in CRLN's review register, on the review described in the status note above.</w:t>
      </w:r>
    </w:p>
    <w:p>
      <w:pPr>
        <w:pStyle w:val="Heading1"/>
      </w:pPr>
      <w:r>
        <w:rPr>
          <w:rFonts w:ascii="Calibri" w:hAnsi="Calibri"/>
          <w:color w:val="1F6F7A"/>
        </w:rPr>
        <w:t>What CRLN does not map to</w:t>
      </w:r>
    </w:p>
    <w:p>
      <w:pPr>
        <w:spacing w:after="160"/>
      </w:pPr>
      <w:r>
        <w:rPr>
          <w:b w:val="0"/>
          <w:sz w:val="21"/>
        </w:rPr>
        <w:t xml:space="preserve">The JTF Framework has eight domains. CRLN’s ten canonical domains map onto </w:t>
      </w:r>
      <w:r>
        <w:rPr>
          <w:b/>
          <w:sz w:val="21"/>
        </w:rPr>
        <w:t>five</w:t>
      </w:r>
      <w:r>
        <w:rPr>
          <w:b w:val="0"/>
          <w:sz w:val="21"/>
        </w:rPr>
        <w:t xml:space="preserve"> of them.</w:t>
      </w:r>
    </w:p>
    <w:tbl>
      <w:tblPr>
        <w:tblStyle w:val="TableGrid"/>
        <w:tblW w:type="auto" w:w="0"/>
        <w:jc w:val="center"/>
        <w:tblLayout w:type="fixed"/>
        <w:tblLook w:firstColumn="1" w:firstRow="1" w:lastColumn="0" w:lastRow="0" w:noHBand="0" w:noVBand="1" w:val="04A0"/>
      </w:tblPr>
      <w:tblGrid>
        <w:gridCol w:w="4824"/>
        <w:gridCol w:w="4824"/>
      </w:tblGrid>
      <w:tr>
        <w:tc>
          <w:tcPr>
            <w:tcW w:type="dxa" w:w="5184"/>
            <w:shd w:val="clear" w:fill="1F6F7A"/>
          </w:tcPr>
          <w:p>
            <w:r>
              <w:rPr>
                <w:b/>
                <w:color w:val="FFFFFF"/>
                <w:sz w:val="19"/>
              </w:rPr>
              <w:t>JTF domain</w:t>
            </w:r>
          </w:p>
        </w:tc>
        <w:tc>
          <w:tcPr>
            <w:tcW w:type="dxa" w:w="4464"/>
            <w:shd w:val="clear" w:fill="1F6F7A"/>
          </w:tcPr>
          <w:p>
            <w:r>
              <w:rPr>
                <w:b/>
                <w:color w:val="FFFFFF"/>
                <w:sz w:val="19"/>
              </w:rPr>
              <w:t>CRLN coverage</w:t>
            </w:r>
          </w:p>
        </w:tc>
      </w:tr>
      <w:tr>
        <w:tc>
          <w:tcPr>
            <w:tcW w:type="dxa" w:w="5184"/>
          </w:tcPr>
          <w:p>
            <w:r>
              <w:rPr>
                <w:sz w:val="19"/>
              </w:rPr>
              <w:t>1. Scientific Concepts and Research Design</w:t>
            </w:r>
          </w:p>
        </w:tc>
        <w:tc>
          <w:tcPr>
            <w:tcW w:type="dxa" w:w="4464"/>
            <w:shd w:val="clear" w:fill="FBF0F0"/>
          </w:tcPr>
          <w:p>
            <w:r>
              <w:rPr>
                <w:b/>
                <w:sz w:val="19"/>
              </w:rPr>
              <w:t>No CRLN counterpart</w:t>
            </w:r>
          </w:p>
        </w:tc>
      </w:tr>
      <w:tr>
        <w:tc>
          <w:tcPr>
            <w:tcW w:type="dxa" w:w="5184"/>
          </w:tcPr>
          <w:p>
            <w:r>
              <w:rPr>
                <w:sz w:val="19"/>
              </w:rPr>
              <w:t>2. Ethical and Participant Safety Considerations</w:t>
            </w:r>
          </w:p>
        </w:tc>
        <w:tc>
          <w:tcPr>
            <w:tcW w:type="dxa" w:w="4464"/>
          </w:tcPr>
          <w:p>
            <w:r>
              <w:rPr>
                <w:b w:val="0"/>
                <w:sz w:val="19"/>
              </w:rPr>
              <w:t>Mapped</w:t>
            </w:r>
          </w:p>
        </w:tc>
      </w:tr>
      <w:tr>
        <w:tc>
          <w:tcPr>
            <w:tcW w:type="dxa" w:w="5184"/>
          </w:tcPr>
          <w:p>
            <w:r>
              <w:rPr>
                <w:sz w:val="19"/>
              </w:rPr>
              <w:t>3. Investigational Products Development and Regulation</w:t>
            </w:r>
          </w:p>
        </w:tc>
        <w:tc>
          <w:tcPr>
            <w:tcW w:type="dxa" w:w="4464"/>
          </w:tcPr>
          <w:p>
            <w:r>
              <w:rPr>
                <w:b w:val="0"/>
                <w:sz w:val="19"/>
              </w:rPr>
              <w:t>Mapped</w:t>
            </w:r>
          </w:p>
        </w:tc>
      </w:tr>
      <w:tr>
        <w:tc>
          <w:tcPr>
            <w:tcW w:type="dxa" w:w="5184"/>
          </w:tcPr>
          <w:p>
            <w:r>
              <w:rPr>
                <w:sz w:val="19"/>
              </w:rPr>
              <w:t>4. Clinical Study Operations (GCPs)</w:t>
            </w:r>
          </w:p>
        </w:tc>
        <w:tc>
          <w:tcPr>
            <w:tcW w:type="dxa" w:w="4464"/>
          </w:tcPr>
          <w:p>
            <w:r>
              <w:rPr>
                <w:b w:val="0"/>
                <w:sz w:val="19"/>
              </w:rPr>
              <w:t>Mapped</w:t>
            </w:r>
          </w:p>
        </w:tc>
      </w:tr>
      <w:tr>
        <w:tc>
          <w:tcPr>
            <w:tcW w:type="dxa" w:w="5184"/>
          </w:tcPr>
          <w:p>
            <w:r>
              <w:rPr>
                <w:sz w:val="19"/>
              </w:rPr>
              <w:t>5. Study and Site Management</w:t>
            </w:r>
          </w:p>
        </w:tc>
        <w:tc>
          <w:tcPr>
            <w:tcW w:type="dxa" w:w="4464"/>
          </w:tcPr>
          <w:p>
            <w:r>
              <w:rPr>
                <w:b w:val="0"/>
                <w:sz w:val="19"/>
              </w:rPr>
              <w:t>Mapped</w:t>
            </w:r>
          </w:p>
        </w:tc>
      </w:tr>
      <w:tr>
        <w:tc>
          <w:tcPr>
            <w:tcW w:type="dxa" w:w="5184"/>
          </w:tcPr>
          <w:p>
            <w:r>
              <w:rPr>
                <w:sz w:val="19"/>
              </w:rPr>
              <w:t>6. Data Management and Informatics</w:t>
            </w:r>
          </w:p>
        </w:tc>
        <w:tc>
          <w:tcPr>
            <w:tcW w:type="dxa" w:w="4464"/>
          </w:tcPr>
          <w:p>
            <w:r>
              <w:rPr>
                <w:b w:val="0"/>
                <w:sz w:val="19"/>
              </w:rPr>
              <w:t>Mapped</w:t>
            </w:r>
          </w:p>
        </w:tc>
      </w:tr>
      <w:tr>
        <w:tc>
          <w:tcPr>
            <w:tcW w:type="dxa" w:w="5184"/>
          </w:tcPr>
          <w:p>
            <w:r>
              <w:rPr>
                <w:sz w:val="19"/>
              </w:rPr>
              <w:t>7. Leadership and Professionalism</w:t>
            </w:r>
          </w:p>
        </w:tc>
        <w:tc>
          <w:tcPr>
            <w:tcW w:type="dxa" w:w="4464"/>
            <w:shd w:val="clear" w:fill="FBF0F0"/>
          </w:tcPr>
          <w:p>
            <w:r>
              <w:rPr>
                <w:b/>
                <w:sz w:val="19"/>
              </w:rPr>
              <w:t>One secondary mapping only, no canonical domain</w:t>
            </w:r>
          </w:p>
        </w:tc>
      </w:tr>
      <w:tr>
        <w:tc>
          <w:tcPr>
            <w:tcW w:type="dxa" w:w="5184"/>
          </w:tcPr>
          <w:p>
            <w:r>
              <w:rPr>
                <w:sz w:val="19"/>
              </w:rPr>
              <w:t>8. Communication and Teamwork</w:t>
            </w:r>
          </w:p>
        </w:tc>
        <w:tc>
          <w:tcPr>
            <w:tcW w:type="dxa" w:w="4464"/>
            <w:shd w:val="clear" w:fill="FBF0F0"/>
          </w:tcPr>
          <w:p>
            <w:r>
              <w:rPr>
                <w:b/>
                <w:sz w:val="19"/>
              </w:rPr>
              <w:t>No CRLN counterpart</w:t>
            </w:r>
          </w:p>
        </w:tc>
      </w:tr>
    </w:tbl>
    <w:p>
      <w:pPr>
        <w:spacing w:after="0"/>
      </w:pPr>
    </w:p>
    <w:p>
      <w:pPr>
        <w:spacing w:after="160"/>
      </w:pPr>
      <w:r>
        <w:rPr>
          <w:b/>
          <w:sz w:val="21"/>
        </w:rPr>
        <w:t>Domain 1, Scientific Concepts and Research Design, and Domain 8, Communication and Teamwork, have no CRLN counterpart at all. Domain 7, Leadership and Professionalism, has one secondary mapping and no canonical domain.</w:t>
      </w:r>
    </w:p>
    <w:p>
      <w:pPr>
        <w:spacing w:after="160"/>
      </w:pPr>
      <w:r>
        <w:rPr>
          <w:b w:val="0"/>
          <w:sz w:val="21"/>
        </w:rPr>
        <w:t>This is a limitation of the CRLN instrument rather than a view about the JTF Framework. CRLN-TRG-001 assesses what an individual in a named role does during trial execution, beginning after a protocol exists. Designing the science, leading a team and communicating within one are real competencies that this instrument does not measure.</w:t>
      </w:r>
    </w:p>
    <w:p>
      <w:pPr>
        <w:spacing w:after="160"/>
      </w:pPr>
      <w:r>
        <w:rPr>
          <w:b/>
          <w:sz w:val="21"/>
        </w:rPr>
        <w:t xml:space="preserve">Three independent crosswalks have now found the same shape. </w:t>
      </w:r>
      <w:r>
        <w:rPr>
          <w:b w:val="0"/>
          <w:sz w:val="21"/>
        </w:rPr>
        <w:t>The TDR Global Competency Framework crosswalk found research methodology, protocol development, strategic leadership and interpersonal skills unmapped. The EU Regulation 536/2014 crosswalk found the framework silent on trial design. JTF domains 1, 7 and 8 are that same absence seen from a third angle.</w:t>
      </w:r>
    </w:p>
    <w:p>
      <w:pPr>
        <w:pStyle w:val="Heading1"/>
      </w:pPr>
      <w:r>
        <w:rPr>
          <w:rFonts w:ascii="Calibri" w:hAnsi="Calibri"/>
          <w:color w:val="1F6F7A"/>
        </w:rPr>
        <w:t>A caveat before reading further</w:t>
      </w:r>
    </w:p>
    <w:p>
      <w:pPr>
        <w:spacing w:after="160"/>
      </w:pPr>
      <w:r>
        <w:rPr>
          <w:b w:val="0"/>
          <w:sz w:val="21"/>
        </w:rPr>
        <w:t xml:space="preserve">CRLN holds a second, finer-grained JTF mapping at the level of individual competency statements, with primary and secondary designations. </w:t>
      </w:r>
      <w:r>
        <w:rPr>
          <w:b/>
          <w:sz w:val="21"/>
        </w:rPr>
        <w:t xml:space="preserve">That finer mapping is provisional and unreviewed, and is not covered by the review above. </w:t>
      </w:r>
      <w:r>
        <w:rPr>
          <w:b w:val="0"/>
          <w:sz w:val="21"/>
        </w:rPr>
        <w:t>Only the ten-domain table in this document was reviewed. Anyone citing CRLN’s JTF alignment should cite this table and not the statement-level mapping.</w:t>
      </w:r>
    </w:p>
    <w:p>
      <w:pPr>
        <w:pStyle w:val="Heading1"/>
      </w:pPr>
      <w:r>
        <w:rPr>
          <w:rFonts w:ascii="Calibri" w:hAnsi="Calibri"/>
          <w:color w:val="1F6F7A"/>
        </w:rPr>
        <w:t>What would be most useful from the JTF</w:t>
      </w:r>
    </w:p>
    <w:p>
      <w:pPr>
        <w:spacing w:after="160"/>
      </w:pPr>
      <w:r>
        <w:rPr>
          <w:b w:val="0"/>
          <w:sz w:val="21"/>
        </w:rPr>
        <w:t>A correction, in preference to agreement. Three questions specifically:</w:t>
      </w:r>
    </w:p>
    <w:p>
      <w:pPr>
        <w:pStyle w:val="ListNumber"/>
        <w:spacing w:after="120"/>
      </w:pPr>
      <w:r>
        <w:rPr>
          <w:b w:val="0"/>
          <w:sz w:val="21"/>
        </w:rPr>
        <w:t>Is any row in the mapping wrong? D-01, GCP Principles and Ethics, maps to JTF Domain 4 rather than Domain 2, and it is the row the custodian is least confident about.</w:t>
      </w:r>
    </w:p>
    <w:p>
      <w:pPr>
        <w:pStyle w:val="ListNumber"/>
        <w:spacing w:after="120"/>
      </w:pPr>
      <w:r>
        <w:rPr>
          <w:b w:val="0"/>
          <w:sz w:val="21"/>
        </w:rPr>
        <w:t>Is mapping three CRLN domains (D-02, D-04 and D-07) all onto JTF Domain 2 a reasonable reading, or does it flatten a distinction the JTF Framework draws deliberately?</w:t>
      </w:r>
    </w:p>
    <w:p>
      <w:pPr>
        <w:pStyle w:val="ListNumber"/>
        <w:spacing w:after="120"/>
      </w:pPr>
      <w:r>
        <w:rPr>
          <w:b w:val="0"/>
          <w:sz w:val="21"/>
        </w:rPr>
        <w:t>Does the JTF consider Domains 1, 7 and 8 essential to any competency claim, such that an instrument omitting them should say so more prominently than this document does?</w:t>
      </w:r>
    </w:p>
    <w:p>
      <w:pPr>
        <w:spacing w:after="160"/>
      </w:pPr>
      <w:r>
        <w:rPr>
          <w:b w:val="0"/>
          <w:sz w:val="21"/>
        </w:rPr>
        <w:t>Corrections are recorded in the published change log and credited unless the reviewer asks otherwise. They may be sent to standard@crln-learn.com.</w:t>
      </w:r>
    </w:p>
    <w:p>
      <w:pPr>
        <w:pStyle w:val="Heading1"/>
      </w:pPr>
      <w:r>
        <w:rPr>
          <w:rFonts w:ascii="Calibri" w:hAnsi="Calibri"/>
          <w:color w:val="1F6F7A"/>
        </w:rPr>
        <w:t>Attribution and licence</w:t>
      </w:r>
    </w:p>
    <w:p>
      <w:pPr>
        <w:spacing w:after="160"/>
      </w:pPr>
      <w:r>
        <w:rPr>
          <w:b w:val="0"/>
          <w:sz w:val="21"/>
        </w:rPr>
        <w:t>The JTF Core Competency Framework is the work of the Joint Task Force for Clinical Trial Competency and the Multi-Regional Clinical Trials Center of Brigham and Women’s Hospital and Harvard. It is credited here, not claimed.</w:t>
      </w:r>
    </w:p>
    <w:p>
      <w:pPr>
        <w:spacing w:after="160"/>
      </w:pPr>
      <w:r>
        <w:rPr>
          <w:b w:val="0"/>
          <w:color w:val="555555"/>
          <w:sz w:val="19"/>
        </w:rPr>
        <w:t>This crosswalk is published by Clinical Research Learning Network under CC BY 4.0. CRLN-TRG-001 is not an accredited standard and must not be represented as one. The Methodology Review Board has one seated member and has not reached quorum; approval of this release is by the custodian on subject-matter-expert review, as the governance document requires every release to state.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