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Career Development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MIS440 Cloud Computing and Big Data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Mazen Alkhatib</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March 1,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Career Development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This week we reached the career development module of the course. I made a LinkedIn profile with my CSU Global email address. This will be in addition to the LinkedIn profile I have created previous to the assignment, and am considering making my permanent profile following the guidelines set forth in the CSU Global career center.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is a link to this profile.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Summary and Value Assessment of USAA Financial Services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USAA provides financial services to members of the United States armed services and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certain civilian contractors such as the CIA and FBI. The services offered include a wide range of financial products and services including insurance, banking, investments, and advice. I currently am employed in the non-injury auto claims area of the company where my role as an adjuster has developed my skills in analytical thinking, regulatory compliance, and proficient claims management strategies in a highly digitized environment. It is my ambition to use my good standing in the company to seek promotion to a role in data analytics. Karrie McMillen was previously a claims manager for a separate adjuster team who I have formed a close working relationship with. Recently, she has entered the data analytics field within USAA and has agreed to work with me on my journey to enter this area of the company. I admire her ability to navigate challenging professional environments and as such, have absolute faith in her ability to provide meaningful guidance in my career growth. Although there may be many opportunities available to me when I graduate with my BS in Business Information systems, it is my sincere desire to remain a part of this organization due in part to the company’s highly developed system of values and ethics. As a claims adjuster. I have experienced first hand the training program teaching new employees to always do the right thing. After becoming a working adjuster, I have seen that this is the way that the company does business, giving employees the authority to do the right thing in grey areas between what we can and can not do. I imagine that this ethical standard extends to other areas of the company, and as such, provides an honorable way to make a living. </w:t>
      </w: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CAREER DEVELOPMENT</w:t>
      <w:tab/>
      <w:tab/>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CAREER DEVELOPMENT</w:t>
      <w:tab/>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ohn-wensink-8a4b411a3/"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