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Portfolio Workbook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Mama Mia’s Accounts Payable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Wensink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MIS350 Information Systems Analysis and Design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William Willette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w:t>
      </w:r>
      <w:r w:rsidDel="00000000" w:rsidR="00000000" w:rsidRPr="00000000">
        <w:rPr>
          <w:rFonts w:ascii="Times New Roman" w:cs="Times New Roman" w:eastAsia="Times New Roman" w:hAnsi="Times New Roman"/>
          <w:sz w:val="24"/>
          <w:szCs w:val="24"/>
          <w:highlight w:val="white"/>
          <w:rtl w:val="0"/>
        </w:rPr>
        <w:t xml:space="preserve">pril 28</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Mama Mia’s ERDs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week’s assignment, I have created an “Entity-Relationship Diagram” (ERD) as well as a “Physical Database Model” (PDM.) In the ERD I have modeled the flow of a new order from conception to delivery. Shipping invoices are audited and either approved for payment or rejected. An inventory management system is also operated thru accounts payable as this department will have the most up to date information with the new information system. The PDM incorporates all of the elements of the ERD into tables with single value attributes paying attention to the primary keys of the ERD. The PDM also includes derived attributes from the entities they represent. The ERD has primary keys in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and foreign keys in </w:t>
      </w:r>
      <w:r w:rsidDel="00000000" w:rsidR="00000000" w:rsidRPr="00000000">
        <w:rPr>
          <w:rFonts w:ascii="Times New Roman" w:cs="Times New Roman" w:eastAsia="Times New Roman" w:hAnsi="Times New Roman"/>
          <w:i w:val="1"/>
          <w:sz w:val="24"/>
          <w:szCs w:val="24"/>
          <w:rtl w:val="0"/>
        </w:rPr>
        <w:t xml:space="preserve">italic. </w:t>
      </w:r>
      <w:r w:rsidDel="00000000" w:rsidR="00000000" w:rsidRPr="00000000">
        <w:rPr>
          <w:rFonts w:ascii="Times New Roman" w:cs="Times New Roman" w:eastAsia="Times New Roman" w:hAnsi="Times New Roman"/>
          <w:sz w:val="24"/>
          <w:szCs w:val="24"/>
          <w:rtl w:val="0"/>
        </w:rPr>
        <w:t xml:space="preserve">The PDM has underlying entities highlighted in </w:t>
      </w:r>
      <w:r w:rsidDel="00000000" w:rsidR="00000000" w:rsidRPr="00000000">
        <w:rPr>
          <w:rFonts w:ascii="Times New Roman" w:cs="Times New Roman" w:eastAsia="Times New Roman" w:hAnsi="Times New Roman"/>
          <w:sz w:val="24"/>
          <w:szCs w:val="24"/>
          <w:shd w:fill="ff9900" w:val="clear"/>
          <w:rtl w:val="0"/>
        </w:rPr>
        <w:t xml:space="preserve">dark orange</w:t>
      </w:r>
      <w:r w:rsidDel="00000000" w:rsidR="00000000" w:rsidRPr="00000000">
        <w:rPr>
          <w:rFonts w:ascii="Times New Roman" w:cs="Times New Roman" w:eastAsia="Times New Roman" w:hAnsi="Times New Roman"/>
          <w:sz w:val="24"/>
          <w:szCs w:val="24"/>
          <w:rtl w:val="0"/>
        </w:rPr>
        <w:t xml:space="preserve"> whereas the derivative attributes are highlighted in </w:t>
      </w:r>
      <w:r w:rsidDel="00000000" w:rsidR="00000000" w:rsidRPr="00000000">
        <w:rPr>
          <w:rFonts w:ascii="Times New Roman" w:cs="Times New Roman" w:eastAsia="Times New Roman" w:hAnsi="Times New Roman"/>
          <w:sz w:val="24"/>
          <w:szCs w:val="24"/>
          <w:shd w:fill="f9cb9c" w:val="clear"/>
          <w:rtl w:val="0"/>
        </w:rPr>
        <w:t xml:space="preserve">light orange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54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97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Villanova. (n.d.). Chapter 4 Normalization. Retrieved April 28,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http://www.csc.villanova.edu/~mdamian/Past/databasefa13/notes/ch04-Normalization.pdf</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Khabbazi, Reza, M., &amp; Sulaiman. (2015, June 30). Inventory System and Functionality Evaluation for Production Logistics. Retrieved April 28, 2019, from </w:t>
      </w:r>
      <w:hyperlink r:id="rId9">
        <w:r w:rsidDel="00000000" w:rsidR="00000000" w:rsidRPr="00000000">
          <w:rPr>
            <w:rFonts w:ascii="Times New Roman" w:cs="Times New Roman" w:eastAsia="Times New Roman" w:hAnsi="Times New Roman"/>
            <w:color w:val="1155cc"/>
            <w:sz w:val="24"/>
            <w:szCs w:val="24"/>
            <w:u w:val="single"/>
            <w:rtl w:val="0"/>
          </w:rPr>
          <w:t xml:space="preserve">http://www.diva-portal.org/smash/record.jsf?pid=diva2:829207&amp;dswid=-1923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Valacich, J. S., &amp; George, J. F. (2017). Modern Systems Analysis and Design (8 ed.). Boston: Pearson. Retrieved April 28, 2019,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https://platform.virdocs.com/r/s/0/doc/244063/</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Paradigm. (n.d.). Conceptual, Logical and Physical Data Model. Retrieved April 28, 2019,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https://www.visual-paradigm.com/support/documents/vpuserguide/3563/3564/85378_conceptual,l.html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2" w:type="default"/>
      <w:head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Entity-Relationship Diagram and Physical Database Model</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Module 6 ERD and Physical Database Model</w:t>
      <w:tab/>
    </w:r>
    <w:r w:rsidDel="00000000" w:rsidR="00000000" w:rsidRPr="00000000">
      <w:rPr>
        <w:rFonts w:ascii="Times New Roman" w:cs="Times New Roman" w:eastAsia="Times New Roman" w:hAnsi="Times New Roman"/>
        <w:color w:val="ff0000"/>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isual-paradigm.com/support/documents/vpuserguide/3563/3564/85378_conceptual,l.html" TargetMode="External"/><Relationship Id="rId10" Type="http://schemas.openxmlformats.org/officeDocument/2006/relationships/hyperlink" Target="https://platform.virdocs.com/r/s/0/doc/244063/"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iva-portal.org/smash/record.jsf?pid=diva2:829207&amp;dswid=-1923"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www.csc.villanova.edu/~mdamian/Past/databasefa13/notes/ch04-Normaliz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