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Empty Outline</w:t>
      </w:r>
    </w:p>
    <w:p>
      <w:pPr>
        <w:pStyle w:val="WorksheetSubtitle"/>
      </w:pPr>
      <w:r>
        <w:t>Retrieve the structure of a lesson, reading, process, or argument from memory.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TOPIC / TASK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p>
      <w:pPr>
        <w:spacing w:before="0" w:after="400" w:line="240" w:lineRule="auto"/>
      </w:pPr>
      <w:r>
        <w:rPr>
          <w:rFonts w:ascii="Arial" w:hAnsi="Arial"/>
          <w:b w:val="0"/>
          <w:color w:val="687B89"/>
          <w:sz w:val="14"/>
        </w:rPr>
        <w:t>Without notes, reconstruct the main structure. Then check and correct in a different colour.</w:t>
      </w:r>
    </w:p>
    <w:tbl>
      <w:tblPr>
        <w:tblW w:type="dxa" w:w="14544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52"/>
        <w:gridCol w:w="13392"/>
      </w:tblGrid>
      <w:tr>
        <w:trPr>
          <w:trHeight w:val="677" w:hRule="atLeast"/>
        </w:trPr>
        <w:tc>
          <w:tcPr>
            <w:tcW w:type="dxa" w:w="1152"/>
            <w:tcMar>
              <w:top w:w="65" w:type="dxa"/>
              <w:left w:w="100" w:type="dxa"/>
              <w:bottom w:w="35" w:type="dxa"/>
              <w:right w:w="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I.</w:t>
            </w:r>
          </w:p>
        </w:tc>
        <w:tc>
          <w:tcPr>
            <w:tcW w:type="dxa" w:w="13392"/>
            <w:tcMar>
              <w:top w:w="35" w:type="dxa"/>
              <w:left w:w="0" w:type="dxa"/>
              <w:bottom w:w="60" w:type="dxa"/>
              <w:right w:w="0" w:type="dxa"/>
            </w:tcMar>
          </w:tcPr>
          <w:p>
            <w:pPr>
              <w:pBdr>
                <w:bottom w:val="single" w:sz="5" w:space="1" w:color="A9BAC4"/>
              </w:pBdr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</w:tc>
      </w:tr>
      <w:tr>
        <w:trPr>
          <w:trHeight w:val="677" w:hRule="atLeast"/>
        </w:trPr>
        <w:tc>
          <w:tcPr>
            <w:tcW w:type="dxa" w:w="1152"/>
            <w:tcMar>
              <w:top w:w="65" w:type="dxa"/>
              <w:left w:w="330" w:type="dxa"/>
              <w:bottom w:w="35" w:type="dxa"/>
              <w:right w:w="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A.</w:t>
            </w:r>
          </w:p>
        </w:tc>
        <w:tc>
          <w:tcPr>
            <w:tcW w:type="dxa" w:w="13392"/>
            <w:tcMar>
              <w:top w:w="35" w:type="dxa"/>
              <w:left w:w="200" w:type="dxa"/>
              <w:bottom w:w="60" w:type="dxa"/>
              <w:right w:w="0" w:type="dxa"/>
            </w:tcMar>
          </w:tcPr>
          <w:p>
            <w:pPr>
              <w:pBdr>
                <w:bottom w:val="single" w:sz="5" w:space="1" w:color="A9BAC4"/>
              </w:pBdr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</w:tc>
      </w:tr>
      <w:tr>
        <w:trPr>
          <w:trHeight w:val="677" w:hRule="atLeast"/>
        </w:trPr>
        <w:tc>
          <w:tcPr>
            <w:tcW w:type="dxa" w:w="1152"/>
            <w:tcMar>
              <w:top w:w="65" w:type="dxa"/>
              <w:left w:w="330" w:type="dxa"/>
              <w:bottom w:w="35" w:type="dxa"/>
              <w:right w:w="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B.</w:t>
            </w:r>
          </w:p>
        </w:tc>
        <w:tc>
          <w:tcPr>
            <w:tcW w:type="dxa" w:w="13392"/>
            <w:tcMar>
              <w:top w:w="35" w:type="dxa"/>
              <w:left w:w="200" w:type="dxa"/>
              <w:bottom w:w="60" w:type="dxa"/>
              <w:right w:w="0" w:type="dxa"/>
            </w:tcMar>
          </w:tcPr>
          <w:p>
            <w:pPr>
              <w:pBdr>
                <w:bottom w:val="single" w:sz="5" w:space="1" w:color="A9BAC4"/>
              </w:pBdr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</w:tc>
      </w:tr>
      <w:tr>
        <w:trPr>
          <w:trHeight w:val="677" w:hRule="atLeast"/>
        </w:trPr>
        <w:tc>
          <w:tcPr>
            <w:tcW w:type="dxa" w:w="1152"/>
            <w:tcMar>
              <w:top w:w="65" w:type="dxa"/>
              <w:left w:w="330" w:type="dxa"/>
              <w:bottom w:w="35" w:type="dxa"/>
              <w:right w:w="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C.</w:t>
            </w:r>
          </w:p>
        </w:tc>
        <w:tc>
          <w:tcPr>
            <w:tcW w:type="dxa" w:w="13392"/>
            <w:tcMar>
              <w:top w:w="35" w:type="dxa"/>
              <w:left w:w="200" w:type="dxa"/>
              <w:bottom w:w="60" w:type="dxa"/>
              <w:right w:w="0" w:type="dxa"/>
            </w:tcMar>
          </w:tcPr>
          <w:p>
            <w:pPr>
              <w:pBdr>
                <w:bottom w:val="single" w:sz="5" w:space="1" w:color="A9BAC4"/>
              </w:pBdr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</w:tc>
      </w:tr>
      <w:tr>
        <w:trPr>
          <w:trHeight w:val="677" w:hRule="atLeast"/>
        </w:trPr>
        <w:tc>
          <w:tcPr>
            <w:tcW w:type="dxa" w:w="1152"/>
            <w:tcMar>
              <w:top w:w="65" w:type="dxa"/>
              <w:left w:w="100" w:type="dxa"/>
              <w:bottom w:w="35" w:type="dxa"/>
              <w:right w:w="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II.</w:t>
            </w:r>
          </w:p>
        </w:tc>
        <w:tc>
          <w:tcPr>
            <w:tcW w:type="dxa" w:w="13392"/>
            <w:tcMar>
              <w:top w:w="35" w:type="dxa"/>
              <w:left w:w="0" w:type="dxa"/>
              <w:bottom w:w="60" w:type="dxa"/>
              <w:right w:w="0" w:type="dxa"/>
            </w:tcMar>
          </w:tcPr>
          <w:p>
            <w:pPr>
              <w:pBdr>
                <w:bottom w:val="single" w:sz="5" w:space="1" w:color="A9BAC4"/>
              </w:pBdr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</w:tc>
      </w:tr>
      <w:tr>
        <w:trPr>
          <w:trHeight w:val="677" w:hRule="atLeast"/>
        </w:trPr>
        <w:tc>
          <w:tcPr>
            <w:tcW w:type="dxa" w:w="1152"/>
            <w:tcMar>
              <w:top w:w="65" w:type="dxa"/>
              <w:left w:w="330" w:type="dxa"/>
              <w:bottom w:w="35" w:type="dxa"/>
              <w:right w:w="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A.</w:t>
            </w:r>
          </w:p>
        </w:tc>
        <w:tc>
          <w:tcPr>
            <w:tcW w:type="dxa" w:w="13392"/>
            <w:tcMar>
              <w:top w:w="35" w:type="dxa"/>
              <w:left w:w="200" w:type="dxa"/>
              <w:bottom w:w="60" w:type="dxa"/>
              <w:right w:w="0" w:type="dxa"/>
            </w:tcMar>
          </w:tcPr>
          <w:p>
            <w:pPr>
              <w:pBdr>
                <w:bottom w:val="single" w:sz="5" w:space="1" w:color="A9BAC4"/>
              </w:pBdr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</w:tc>
      </w:tr>
      <w:tr>
        <w:trPr>
          <w:trHeight w:val="677" w:hRule="atLeast"/>
        </w:trPr>
        <w:tc>
          <w:tcPr>
            <w:tcW w:type="dxa" w:w="1152"/>
            <w:tcMar>
              <w:top w:w="65" w:type="dxa"/>
              <w:left w:w="330" w:type="dxa"/>
              <w:bottom w:w="35" w:type="dxa"/>
              <w:right w:w="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B.</w:t>
            </w:r>
          </w:p>
        </w:tc>
        <w:tc>
          <w:tcPr>
            <w:tcW w:type="dxa" w:w="13392"/>
            <w:tcMar>
              <w:top w:w="35" w:type="dxa"/>
              <w:left w:w="200" w:type="dxa"/>
              <w:bottom w:w="60" w:type="dxa"/>
              <w:right w:w="0" w:type="dxa"/>
            </w:tcMar>
          </w:tcPr>
          <w:p>
            <w:pPr>
              <w:pBdr>
                <w:bottom w:val="single" w:sz="5" w:space="1" w:color="A9BAC4"/>
              </w:pBdr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</w:tc>
      </w:tr>
      <w:tr>
        <w:trPr>
          <w:trHeight w:val="677" w:hRule="atLeast"/>
        </w:trPr>
        <w:tc>
          <w:tcPr>
            <w:tcW w:type="dxa" w:w="1152"/>
            <w:tcMar>
              <w:top w:w="65" w:type="dxa"/>
              <w:left w:w="100" w:type="dxa"/>
              <w:bottom w:w="35" w:type="dxa"/>
              <w:right w:w="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III.</w:t>
            </w:r>
          </w:p>
        </w:tc>
        <w:tc>
          <w:tcPr>
            <w:tcW w:type="dxa" w:w="13392"/>
            <w:tcMar>
              <w:top w:w="35" w:type="dxa"/>
              <w:left w:w="0" w:type="dxa"/>
              <w:bottom w:w="60" w:type="dxa"/>
              <w:right w:w="0" w:type="dxa"/>
            </w:tcMar>
          </w:tcPr>
          <w:p>
            <w:pPr>
              <w:pBdr>
                <w:bottom w:val="single" w:sz="5" w:space="1" w:color="A9BAC4"/>
              </w:pBdr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</w:tc>
      </w:tr>
      <w:tr>
        <w:trPr>
          <w:trHeight w:val="677" w:hRule="atLeast"/>
        </w:trPr>
        <w:tc>
          <w:tcPr>
            <w:tcW w:type="dxa" w:w="1152"/>
            <w:tcMar>
              <w:top w:w="65" w:type="dxa"/>
              <w:left w:w="330" w:type="dxa"/>
              <w:bottom w:w="35" w:type="dxa"/>
              <w:right w:w="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A.</w:t>
            </w:r>
          </w:p>
        </w:tc>
        <w:tc>
          <w:tcPr>
            <w:tcW w:type="dxa" w:w="13392"/>
            <w:tcMar>
              <w:top w:w="35" w:type="dxa"/>
              <w:left w:w="200" w:type="dxa"/>
              <w:bottom w:w="60" w:type="dxa"/>
              <w:right w:w="0" w:type="dxa"/>
            </w:tcMar>
          </w:tcPr>
          <w:p>
            <w:pPr>
              <w:pBdr>
                <w:bottom w:val="single" w:sz="5" w:space="1" w:color="A9BAC4"/>
              </w:pBdr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Empty Outline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Empty Outline</dc:title>
  <dc:subject>Editable classroom companion worksheet</dc:subject>
  <dc:creator>Instructional Intelligence</dc:creator>
  <cp:keywords>assessment for learning,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