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Hinge Question Planner</w:t>
      </w:r>
    </w:p>
    <w:p>
      <w:pPr>
        <w:pStyle w:val="WorksheetSubtitle"/>
      </w:pPr>
      <w:r>
        <w:t>Design a quick diagnostic question that changes what happens next.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60" w:after="120" w:line="240" w:lineRule="auto"/>
      </w:pPr>
      <w:r>
        <w:rPr>
          <w:rFonts w:ascii="Arial" w:hAnsi="Arial"/>
          <w:b/>
          <w:color w:val="687B89"/>
          <w:sz w:val="12"/>
        </w:rPr>
        <w:t xml:space="preserve">TOPIC / TASK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Arial" w:hAnsi="Arial"/>
          <w:b/>
          <w:color w:val="687B89"/>
          <w:sz w:val="12"/>
        </w:rPr>
        <w:t xml:space="preserve">  NAME 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</w:t>
      </w:r>
    </w:p>
    <w:tbl>
      <w:tblPr>
        <w:tblW w:type="dxa" w:w="14544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4544"/>
      </w:tblGrid>
      <w:tr>
        <w:trPr>
          <w:trHeight w:val="2088" w:hRule="atLeast"/>
        </w:trPr>
        <w:tc>
          <w:tcPr>
            <w:tcW w:type="dxa" w:w="14544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1. Critical idea + hinge question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must students understand before the next part of learning?</w:t>
            </w:r>
          </w:p>
          <w:tbl>
            <w:tblPr>
              <w:tblW w:type="dxa" w:w="1411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4112"/>
            </w:tblGrid>
            <w:tr>
              <w:trPr>
                <w:trHeight w:val="389" w:hRule="atLeast"/>
              </w:trPr>
              <w:tc>
                <w:tcPr>
                  <w:tcW w:type="dxa" w:w="1411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1411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1411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p>
      <w:pPr>
        <w:spacing w:before="0" w:after="0" w:line="100" w:lineRule="exact"/>
      </w:pPr>
      <w:r>
        <w:rPr>
          <w:rFonts w:ascii="Arial" w:hAnsi="Arial"/>
          <w:b w:val="0"/>
          <w:color w:val="FFFFFF"/>
          <w:sz w:val="2"/>
        </w:rPr>
        <w:t xml:space="preserve"> </w:t>
      </w:r>
    </w:p>
    <w:tbl>
      <w:tblPr>
        <w:tblW w:type="dxa" w:w="1440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rHeight w:val="2232" w:hRule="atLeast"/>
        </w:trPr>
        <w:tc>
          <w:tcPr>
            <w:tcW w:type="dxa" w:w="720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2. Correct reasoning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reasoning shows secure understanding?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403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3. Distractors / misconceptions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Make wrong options reveal common lines of thinking.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403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p>
      <w:pPr>
        <w:spacing w:before="0" w:after="0" w:line="100" w:lineRule="exact"/>
      </w:pPr>
      <w:r>
        <w:rPr>
          <w:rFonts w:ascii="Arial" w:hAnsi="Arial"/>
          <w:b w:val="0"/>
          <w:color w:val="FFFFFF"/>
          <w:sz w:val="2"/>
        </w:rPr>
        <w:t xml:space="preserve"> </w:t>
      </w:r>
    </w:p>
    <w:tbl>
      <w:tblPr>
        <w:tblW w:type="dxa" w:w="14544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4544"/>
      </w:tblGrid>
      <w:tr>
        <w:trPr>
          <w:trHeight w:val="2045" w:hRule="atLeast"/>
        </w:trPr>
        <w:tc>
          <w:tcPr>
            <w:tcW w:type="dxa" w:w="14544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4. Decision rule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If response pattern is ___, I will move forward. If ___, I will reteach/reframe. If mixed, I will use ___ grouping or explanation.</w:t>
            </w:r>
          </w:p>
          <w:tbl>
            <w:tblPr>
              <w:tblW w:type="dxa" w:w="1411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4112"/>
            </w:tblGrid>
            <w:tr>
              <w:trPr>
                <w:trHeight w:val="374" w:hRule="atLeast"/>
              </w:trPr>
              <w:tc>
                <w:tcPr>
                  <w:tcW w:type="dxa" w:w="1411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74" w:hRule="atLeast"/>
              </w:trPr>
              <w:tc>
                <w:tcPr>
                  <w:tcW w:type="dxa" w:w="1411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74" w:hRule="atLeast"/>
              </w:trPr>
              <w:tc>
                <w:tcPr>
                  <w:tcW w:type="dxa" w:w="1411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Hinge Questions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Hinge Question Planner</dc:title>
  <dc:subject>Editable classroom companion worksheet</dc:subject>
  <dc:creator>Instructional Intelligence</dc:creator>
  <cp:keywords>assessment for learning,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