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Cooperative Review Structures - Planner</w:t>
      </w:r>
    </w:p>
    <w:p>
      <w:pPr>
        <w:pStyle w:val="WorksheetSubtitle"/>
      </w:pPr>
      <w:r>
        <w:t>Choose a short structure only after identifying the learning purpose.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LEARNING TARGET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should students retrieve / explain?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PROMPT QUALITY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question requires more than guessing?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STRUCTURE CHOICE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Fan-N-Pick, Find Someone Who, Quiz-Quiz-Trade, Showdown, or another routine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ACCOUNTABILITY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will every student think and respond?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D594B"/>
              <w:left w:val="single" w:sz="14" w:space="0" w:color="DD594B"/>
              <w:bottom w:val="single" w:sz="14" w:space="0" w:color="DD594B"/>
              <w:right w:val="single" w:sz="14" w:space="0" w:color="DD594B"/>
            </w:tcBorders>
            <w:shd w:val="clear" w:color="auto" w:fill="FCF3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D594B"/>
                <w:sz w:val="16"/>
              </w:rPr>
              <w:t>MISCONCEPTIONS TO WATCH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errors may surface?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DEBRIEF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will the class clarify after the activity?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Cooperative Review Structures - Planner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Cooperative Review Structures - Planner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