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Four Corners - Position &amp; Reflection</w:t>
      </w:r>
    </w:p>
    <w:p>
      <w:pPr>
        <w:pStyle w:val="WorksheetSubtitle"/>
      </w:pPr>
      <w:r>
        <w:t>Commit independently, listen, then decide whether your position changed.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STARTING CORNER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position and why?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STRONGEST REASON I HEARD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From my corner or another corner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EVIDENCE / COUNTERPOINT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complicated the issue?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MY POSITION NOW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Stay, move, or remain uncertain - explain.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Four Corners - Position &amp; Reflection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Corners - Position &amp; Reflection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