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Group Processing Reflection</w:t>
      </w:r>
    </w:p>
    <w:p>
      <w:pPr>
        <w:pStyle w:val="WorksheetSubtitle"/>
      </w:pPr>
      <w:r>
        <w:t>Reflect on the learning and the teamwork - not just whether the group finished.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/ TASK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3139" w:hRule="atLeast"/>
        </w:trPr>
        <w:tc>
          <w:tcPr>
            <w:tcW w:type="dxa" w:w="720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WHAT HELPED US LEARN?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Name one specific behaviour or interaction.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DD594B"/>
              <w:left w:val="single" w:sz="14" w:space="0" w:color="DD594B"/>
              <w:bottom w:val="single" w:sz="14" w:space="0" w:color="DD594B"/>
              <w:right w:val="single" w:sz="14" w:space="0" w:color="DD594B"/>
            </w:tcBorders>
            <w:shd w:val="clear" w:color="auto" w:fill="FCF3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D594B"/>
                <w:sz w:val="16"/>
              </w:rPr>
              <w:t>WHAT GOT IN THE WAY?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Describe without blaming a person.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139" w:hRule="atLeast"/>
        </w:trPr>
        <w:tc>
          <w:tcPr>
            <w:tcW w:type="dxa" w:w="720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EVIDENCE EVERYONE LEARNED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How do we know each member understands?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NEXT GROUP GOAL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One behaviour we will deliberately improve next time.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Group Processing Reflection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Processing Reflection</dc:title>
  <dc:subject>Editable classroom companion worksheet</dc:subject>
  <dc:creator>Instructional Intelligence</dc:creator>
  <cp:keywords>cooperative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