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Pairs Check</w:t>
      </w:r>
    </w:p>
    <w:p>
      <w:pPr>
        <w:pStyle w:val="WorksheetSubtitle"/>
      </w:pPr>
      <w:r>
        <w:t>Alternate solver and coach roles; explain before correcting.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PROBLEM 1 - A SOLVES / B COACHES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Reasoning and feedback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PROBLEM 2 - B SOLVES / A COACHES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Reasoning and feedback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PAIR 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both partners agree 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COMPARE WITH ANOTHER PAIR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difference needs resolution?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Pairs Check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Pairs Check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