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Accountable Talk - Student Moves</w:t>
      </w:r>
    </w:p>
    <w:p>
      <w:pPr>
        <w:pStyle w:val="WorksheetSubtitle"/>
      </w:pPr>
      <w:r>
        <w:t>Use talk moves to be accountable to the community, the knowledge, and the reasoning in the discussion.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298"/>
        <w:jc w:val="center"/>
        <w:tblCellSpacing w:type="dxa" w:w="4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6480" w:hRule="atLeast"/>
        </w:trPr>
        <w:tc>
          <w:tcPr>
            <w:tcW w:type="dxa" w:w="4766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5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spacing w:before="0" w:after="24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BUILD THE COMMUNITY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I want to build on...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I heard ___ say...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Can you clarify...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I agree / disagree because...</w:t>
            </w:r>
          </w:p>
        </w:tc>
        <w:tc>
          <w:tcPr>
            <w:tcW w:type="dxa" w:w="4766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5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spacing w:before="0" w:after="24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GROUND THE KNOWLEDGE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What evidence supports that?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Where did that information come from?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Which detail matters most?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Does the source/data actually show that?</w:t>
            </w:r>
          </w:p>
        </w:tc>
        <w:tc>
          <w:tcPr>
            <w:tcW w:type="dxa" w:w="4766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5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spacing w:before="0" w:after="24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STRENGTHEN THE REASONING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What is the link between those ideas?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What assumption is underneath that?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Does the conclusion follow?</w:t>
            </w:r>
          </w:p>
          <w:p>
            <w:pPr>
              <w:pStyle w:val="ListBullet"/>
              <w:spacing w:before="0" w:after="180" w:line="259" w:lineRule="auto"/>
              <w:ind w:left="288" w:hanging="173"/>
            </w:pPr>
            <w:r>
              <w:rPr>
                <w:rFonts w:ascii="Arial" w:hAnsi="Arial"/>
                <w:b w:val="0"/>
                <w:color w:val="24313B"/>
                <w:sz w:val="14"/>
              </w:rPr>
              <w:t>What counterexample should we test?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Accountable Talk - Student Moves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9"/>
            </w:rPr>
            <w:t>Original companion; Accountable Talk is a registered trademark of the University of Pittsburgh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Accountable Talk - Student Moves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