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Back-to-Back and Face-to-Face</w:t>
      </w:r>
    </w:p>
    <w:p>
      <w:pPr>
        <w:pStyle w:val="WorksheetSubtitle"/>
      </w:pPr>
      <w:r>
        <w:t>Think privately, turn to a partner to share, then repeat with a new prompt or partner.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29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749" w:hRule="atLeast"/>
        </w:trPr>
        <w:tc>
          <w:tcPr>
            <w:tcW w:type="dxa" w:w="14429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5" w:type="dxa"/>
              <w:left w:w="135" w:type="dxa"/>
              <w:bottom w:w="10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288295"/>
                <w:sz w:val="13"/>
              </w:rPr>
              <w:t>ROUTINE: BACK-TO-BACK = THINK QUIETLY  |  FACE-TO-FACE = SHARE &amp; LISTEN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2"/>
              </w:rPr>
            </w:r>
          </w:p>
        </w:tc>
      </w:tr>
    </w:tbl>
    <w:p>
      <w:pPr>
        <w:spacing w:before="0" w:after="0" w:line="10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5112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ROUND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Prompt / question: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ROUND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Prompt / question: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ROUND 3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Prompt / question: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91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Back-to-Back and Face-to-Face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companion - protocol associated with EL Education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Back-to-Back and Face-to-Face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