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Fishbowl - Role Cards</w:t>
      </w:r>
    </w:p>
    <w:p>
      <w:pPr>
        <w:pStyle w:val="WorksheetSubtitle"/>
      </w:pPr>
      <w:r>
        <w:t>Cut apart as optional reminders for inner-circle speakers and outer-circle listeners.</w:t>
      </w:r>
    </w:p>
    <w:p>
      <w:pPr>
        <w:pBdr>
          <w:bottom w:val="single" w:sz="18" w:space="1" w:color="288295"/>
        </w:pBdr>
        <w:spacing w:before="0" w:after="20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8"/>
        <w:jc w:val="center"/>
        <w:tblCellSpacing w:type="dxa" w:w="35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197" w:hRule="atLeast"/>
          <w:trHeight w:val="3197" w:hRule="atLeast"/>
        </w:trPr>
        <w:tc>
          <w:tcPr>
            <w:tcW w:type="dxa" w:w="7214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1F8FA"/>
            <w:tcMar>
              <w:top w:w="135" w:type="dxa"/>
              <w:left w:w="135" w:type="dxa"/>
              <w:bottom w:w="110" w:type="dxa"/>
              <w:right w:w="135" w:type="dxa"/>
            </w:tcMar>
            <w:vAlign w:val="top"/>
          </w:tcPr>
          <w:p>
            <w:pPr>
              <w:spacing w:before="0" w:after="100" w:line="240" w:lineRule="auto"/>
              <w:jc w:val="left"/>
            </w:pPr>
            <w:r>
              <w:rPr>
                <w:rFonts w:ascii="Arial" w:hAnsi="Arial"/>
                <w:b/>
                <w:color w:val="288295"/>
                <w:sz w:val="16"/>
              </w:rPr>
              <w:t>INNER CIRCLE - CONTRIBUTE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color w:val="687B89"/>
                <w:sz w:val="13"/>
              </w:rPr>
              <w:t>Listen first. Add an idea, question, connection, or evidence. Leave space for others.</w:t>
            </w:r>
          </w:p>
        </w:tc>
        <w:tc>
          <w:tcPr>
            <w:tcW w:type="dxa" w:w="7214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2F7F2"/>
            <w:tcMar>
              <w:top w:w="135" w:type="dxa"/>
              <w:left w:w="135" w:type="dxa"/>
              <w:bottom w:w="110" w:type="dxa"/>
              <w:right w:w="135" w:type="dxa"/>
            </w:tcMar>
            <w:vAlign w:val="top"/>
          </w:tcPr>
          <w:p>
            <w:pPr>
              <w:spacing w:before="0" w:after="100" w:line="240" w:lineRule="auto"/>
              <w:jc w:val="left"/>
            </w:pPr>
            <w:r>
              <w:rPr>
                <w:rFonts w:ascii="Arial" w:hAnsi="Arial"/>
                <w:b/>
                <w:color w:val="668E6D"/>
                <w:sz w:val="16"/>
              </w:rPr>
              <w:t>INNER CIRCLE - BUILD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color w:val="687B89"/>
                <w:sz w:val="13"/>
              </w:rPr>
              <w:t>Refer to another speaker accurately before extending, challenging, or complicating the idea.</w:t>
            </w:r>
          </w:p>
        </w:tc>
      </w:tr>
      <w:tr>
        <w:trPr>
          <w:trHeight w:val="3197" w:hRule="atLeast"/>
          <w:trHeight w:val="3197" w:hRule="atLeast"/>
        </w:trPr>
        <w:tc>
          <w:tcPr>
            <w:tcW w:type="dxa" w:w="7214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6F3FB"/>
            <w:tcMar>
              <w:top w:w="135" w:type="dxa"/>
              <w:left w:w="135" w:type="dxa"/>
              <w:bottom w:w="110" w:type="dxa"/>
              <w:right w:w="135" w:type="dxa"/>
            </w:tcMar>
            <w:vAlign w:val="top"/>
          </w:tcPr>
          <w:p>
            <w:pPr>
              <w:spacing w:before="0" w:after="100" w:line="240" w:lineRule="auto"/>
              <w:jc w:val="left"/>
            </w:pPr>
            <w:r>
              <w:rPr>
                <w:rFonts w:ascii="Arial" w:hAnsi="Arial"/>
                <w:b/>
                <w:color w:val="7761B5"/>
                <w:sz w:val="16"/>
              </w:rPr>
              <w:t>OUTER CIRCLE - LISTEN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color w:val="687B89"/>
                <w:sz w:val="13"/>
              </w:rPr>
              <w:t>Track the thinking. Notice strong evidence, useful questions, and how ideas connect.</w:t>
            </w:r>
          </w:p>
        </w:tc>
        <w:tc>
          <w:tcPr>
            <w:tcW w:type="dxa" w:w="7214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CF6F1"/>
            <w:tcMar>
              <w:top w:w="135" w:type="dxa"/>
              <w:left w:w="135" w:type="dxa"/>
              <w:bottom w:w="110" w:type="dxa"/>
              <w:right w:w="135" w:type="dxa"/>
            </w:tcMar>
            <w:vAlign w:val="top"/>
          </w:tcPr>
          <w:p>
            <w:pPr>
              <w:spacing w:before="0" w:after="100" w:line="240" w:lineRule="auto"/>
              <w:jc w:val="left"/>
            </w:pPr>
            <w:r>
              <w:rPr>
                <w:rFonts w:ascii="Arial" w:hAnsi="Arial"/>
                <w:b/>
                <w:color w:val="D97E3F"/>
                <w:sz w:val="16"/>
              </w:rPr>
              <w:t>OUTER CIRCLE - PREPARE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color w:val="687B89"/>
                <w:sz w:val="13"/>
              </w:rPr>
              <w:t>Identify one idea or question worth bringing into the next round. Do not just score speakers.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Fishbowl - Role Cards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role reminders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Fishbowl - Role Cards</dc:title>
  <dc:subject>Editable classroom companion worksheet</dc:subject>
  <dc:creator>Instructional Intelligence</dc:creator>
  <cp:keywords>discussion, questioning,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