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Micro Lab Protocol</w:t>
      </w:r>
    </w:p>
    <w:p>
      <w:pPr>
        <w:pStyle w:val="WorksheetSubtitle"/>
      </w:pPr>
      <w:r>
        <w:t>Equal airtime first; open discussion second. Use short silence between speakers so ideas are actually heard.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PROMPT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/ GROUP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2333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ROUND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Listen without interrupting. Jot one idea you want to remember.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ROUND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Listen without interrupting. Jot one idea you want to remember.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ROUND 3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Listen without interrupting. Jot one idea you want to remember.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spacing w:before="40" w:after="60" w:line="240" w:lineRule="auto"/>
        <w:jc w:val="center"/>
      </w:pPr>
      <w:r>
        <w:rPr>
          <w:rFonts w:ascii="Arial" w:hAnsi="Arial"/>
          <w:b w:val="0"/>
          <w:color w:val="687B89"/>
          <w:sz w:val="11"/>
        </w:rPr>
        <w:t>Pause briefly in silence between rounds.</w:t>
      </w:r>
    </w:p>
    <w:tbl>
      <w:tblPr>
        <w:tblW w:type="dxa" w:w="14429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3528" w:hRule="atLeast"/>
        </w:trPr>
        <w:tc>
          <w:tcPr>
            <w:tcW w:type="dxa" w:w="14429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OPEN DISCUSSION - CONNECT THE ROUNDS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Now respond, connect, question, extend, or challenge. Refer back to ideas that were actually shared.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Micro Lab Protocol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companion - routine from Making Thinking Visible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 Lab Protocol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