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Riddle Discussion</w:t>
      </w:r>
    </w:p>
    <w:p>
      <w:pPr>
        <w:pStyle w:val="WorksheetSubtitle"/>
      </w:pPr>
      <w:r>
        <w:t>Listen more than once, separate noticing from wondering, and use clues as evidence for an inference.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RIDDLE / MYSTERY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5789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NOTICE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clues, details, words, or patterns did you hear or see?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WONDER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questions do those clues raise? What is still uncertain?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INFER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your best answer? Which clues make it reasonable?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677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p>
      <w:pPr>
        <w:pBdr>
          <w:bottom w:val="single" w:sz="5" w:space="1" w:color="A9BAC4"/>
        </w:pBdr>
        <w:spacing w:before="100" w:after="0" w:line="240" w:lineRule="auto"/>
      </w:pPr>
      <w:r>
        <w:rPr>
          <w:rFonts w:ascii="Arial" w:hAnsi="Arial"/>
          <w:b/>
          <w:color w:val="D97E3F"/>
          <w:sz w:val="13"/>
        </w:rPr>
        <w:t>AFTER THE REVEAL: Which clue mattered most? What inference would you revise?</w:t>
      </w:r>
    </w:p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Riddle Discussion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companion - Riddle Discussion protocol associated with EL Education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Riddle Discussion</dc:title>
  <dc:subject>Editable classroom companion worksheet</dc:subject>
  <dc:creator>Instructional Intelligence</dc:creator>
  <cp:keywords>discussion, questioning,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