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Case-Based Learning - Case Analysis</w:t>
      </w:r>
    </w:p>
    <w:p>
      <w:pPr>
        <w:pStyle w:val="WorksheetSubtitle"/>
      </w:pPr>
      <w:r>
        <w:t>Use disciplinary ideas to analyze a realistic situation and justify a recommendation.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CASE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/ TEAM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CENTRAL ISSUE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decision, conflict, problem, or question is at the heart of the case?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RELEVANT FACTS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details matter? Separate evidence from assumptions.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STAKEHOLDERS / PERSPECTIVES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is affected and what might each person or group value?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OPTIONS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reasonable actions or interpretations are available?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RECOMMENDATION +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happen, and why is that choice defensible?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WHAT COULD CHANGE OUR MIND?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Missing information, risks, or new evidence that would matter.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Case-Based Learning - Case Analysis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Case-Based Learning - Case Analysis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