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Open-Ended Problem Solver</w:t>
      </w:r>
    </w:p>
    <w:p>
      <w:pPr>
        <w:pStyle w:val="WorksheetSubtitle"/>
      </w:pPr>
      <w:r>
        <w:t>Choose a route, make your reasoning visible, compare strategies, and extend the problem.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p>
      <w:pPr>
        <w:spacing w:before="60" w:after="120" w:line="240" w:lineRule="auto"/>
      </w:pPr>
      <w:r>
        <w:rPr>
          <w:rFonts w:ascii="Arial" w:hAnsi="Arial"/>
          <w:b/>
          <w:color w:val="687B89"/>
          <w:sz w:val="12"/>
        </w:rPr>
        <w:t xml:space="preserve">PROBLEM </w:t>
      </w:r>
      <w:r>
        <w:rPr>
          <w:rFonts w:ascii="Arial" w:hAnsi="Arial"/>
          <w:b w:val="0"/>
          <w:color w:val="A9BAC4"/>
          <w:position w:val="-8"/>
          <w:sz w:val="12"/>
          <w:u w:val="single"/>
        </w:rPr>
        <w:t xml:space="preserve">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 </w:t>
      </w:r>
      <w:r>
        <w:rPr>
          <w:rFonts w:ascii="Arial" w:hAnsi="Arial"/>
          <w:b/>
          <w:color w:val="687B89"/>
          <w:sz w:val="12"/>
        </w:rPr>
        <w:t xml:space="preserve">  NAME  </w:t>
      </w:r>
      <w:r>
        <w:rPr>
          <w:rFonts w:ascii="Arial" w:hAnsi="Arial"/>
          <w:b w:val="0"/>
          <w:color w:val="A9BAC4"/>
          <w:position w:val="-8"/>
          <w:sz w:val="12"/>
          <w:u w:val="single"/>
        </w:rPr>
        <w:t xml:space="preserve">                                                                                               </w:t>
      </w:r>
    </w:p>
    <w:tbl>
      <w:tblPr>
        <w:tblW w:type="dxa" w:w="14430"/>
        <w:jc w:val="center"/>
        <w:tblCellSpacing w:type="dxa" w:w="4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810"/>
        <w:gridCol w:w="4810"/>
        <w:gridCol w:w="4810"/>
      </w:tblGrid>
      <w:tr>
        <w:trPr>
          <w:trHeight w:val="3024" w:hRule="atLeast"/>
        </w:trPr>
        <w:tc>
          <w:tcPr>
            <w:tcW w:type="dxa" w:w="4810"/>
            <w:tcBorders>
              <w:top w:val="single" w:sz="14" w:space="0" w:color="288295"/>
              <w:left w:val="single" w:sz="14" w:space="0" w:color="288295"/>
              <w:bottom w:val="single" w:sz="14" w:space="0" w:color="288295"/>
              <w:right w:val="single" w:sz="14" w:space="0" w:color="288295"/>
            </w:tcBorders>
            <w:shd w:val="clear" w:color="auto" w:fill="F1F8FA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88295"/>
                <w:sz w:val="16"/>
              </w:rPr>
              <w:t>UNDERSTAND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is known? What is unknown? What conditions or constraints matter?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7761B5"/>
              <w:left w:val="single" w:sz="14" w:space="0" w:color="7761B5"/>
              <w:bottom w:val="single" w:sz="14" w:space="0" w:color="7761B5"/>
              <w:right w:val="single" w:sz="14" w:space="0" w:color="7761B5"/>
            </w:tcBorders>
            <w:shd w:val="clear" w:color="auto" w:fill="F6F3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7761B5"/>
                <w:sz w:val="16"/>
              </w:rPr>
              <w:t>POSSIBLE APPROACHES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List or sketch more than one way you might begin.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D97E3F"/>
              <w:left w:val="single" w:sz="14" w:space="0" w:color="D97E3F"/>
              <w:bottom w:val="single" w:sz="14" w:space="0" w:color="D97E3F"/>
              <w:right w:val="single" w:sz="14" w:space="0" w:color="D97E3F"/>
            </w:tcBorders>
            <w:shd w:val="clear" w:color="auto" w:fill="FCF6F1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97E3F"/>
                <w:sz w:val="16"/>
              </w:rPr>
              <w:t>TRY + RECORD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Carry out a strategy. Keep enough work to explain your thinking.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  <w:tr>
        <w:trPr>
          <w:trHeight w:val="3024" w:hRule="atLeast"/>
        </w:trPr>
        <w:tc>
          <w:tcPr>
            <w:tcW w:type="dxa" w:w="4810"/>
            <w:tcBorders>
              <w:top w:val="single" w:sz="14" w:space="0" w:color="668E6D"/>
              <w:left w:val="single" w:sz="14" w:space="0" w:color="668E6D"/>
              <w:bottom w:val="single" w:sz="14" w:space="0" w:color="668E6D"/>
              <w:right w:val="single" w:sz="14" w:space="0" w:color="668E6D"/>
            </w:tcBorders>
            <w:shd w:val="clear" w:color="auto" w:fill="F2F7F2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668E6D"/>
                <w:sz w:val="16"/>
              </w:rPr>
              <w:t>COMPARE / REVISE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How does another approach differ? Is one more efficient, general, or convincing?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3D7DB3"/>
              <w:left w:val="single" w:sz="14" w:space="0" w:color="3D7DB3"/>
              <w:bottom w:val="single" w:sz="14" w:space="0" w:color="3D7DB3"/>
              <w:right w:val="single" w:sz="14" w:space="0" w:color="3D7DB3"/>
            </w:tcBorders>
            <w:shd w:val="clear" w:color="auto" w:fill="F2F7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3D7DB3"/>
                <w:sz w:val="16"/>
              </w:rPr>
              <w:t>EXTEND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Change a condition, generalize a pattern, or create a related problem.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1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Open-Ended Problem Solver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Open-Ended Problem Solver</dc:title>
  <dc:subject>Editable classroom companion worksheet</dc:subject>
  <dc:creator>Instructional Intelligence</dc:creator>
  <cp:keywords>inquiry, problem solving,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