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Concept Attainment</w:t>
      </w:r>
    </w:p>
    <w:p>
      <w:pPr>
        <w:pStyle w:val="WorksheetSubtitle"/>
      </w:pPr>
      <w:r>
        <w:t>Use yes/no examples so students infer the rule or concept.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096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YES 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or sketch examples that fit the concept.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NO 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or sketch non-examples to sharpen the rule.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40" w:hRule="atLeast"/>
        </w:trPr>
        <w:tc>
          <w:tcPr>
            <w:tcW w:type="dxa" w:w="14400"/>
            <w:gridSpan w:val="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HYPOTHESIS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rule might explain the yes/no pattern?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Concept Attainment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Attainment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