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Mastery Learning</w:t>
      </w:r>
    </w:p>
    <w:p>
      <w:pPr>
        <w:pStyle w:val="WorksheetSubtitle"/>
      </w:pPr>
      <w:r>
        <w:t>Plan for check-ins, reteaching, and another attempt until the target is secure.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240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TARGET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has to be mastered?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PRACTISE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work builds toward it?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240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you know?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RETEACH + RECHECK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you respond if students are not secure yet?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Mastery Learning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Mastery Learning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